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1EBE" w14:textId="77777777" w:rsidR="00AC70AE" w:rsidRDefault="00AC70AE" w:rsidP="00AC70AE">
      <w:pPr>
        <w:pStyle w:val="BodyText"/>
        <w:ind w:firstLine="0"/>
        <w:rPr>
          <w:color w:val="000000"/>
          <w:sz w:val="22"/>
          <w:szCs w:val="22"/>
        </w:rPr>
      </w:pPr>
    </w:p>
    <w:p w14:paraId="4074AA89" w14:textId="6FA7A97D" w:rsidR="007C0402" w:rsidRPr="00AC70AE" w:rsidRDefault="00C368E9" w:rsidP="00AC70AE">
      <w:pPr>
        <w:pStyle w:val="BodyText"/>
        <w:ind w:firstLine="0"/>
        <w:rPr>
          <w:color w:val="000000"/>
          <w:sz w:val="22"/>
          <w:szCs w:val="22"/>
        </w:rPr>
      </w:pPr>
      <w:r w:rsidRPr="00AC70AE">
        <w:rPr>
          <w:color w:val="000000"/>
          <w:sz w:val="22"/>
          <w:szCs w:val="22"/>
        </w:rPr>
        <w:t>[</w:t>
      </w:r>
      <w:r w:rsidR="007C0402" w:rsidRPr="00AC70AE">
        <w:rPr>
          <w:color w:val="000000"/>
          <w:sz w:val="22"/>
          <w:szCs w:val="22"/>
        </w:rPr>
        <w:t>THIS NOTE AND THE SECURITIES INTO WHICH IT MAY BE CONVERTED HAVE NOT BEEN REGISTERED UNDER THE SECURITIES ACT OF 1933, AS AMENDED (THE “</w:t>
      </w:r>
      <w:r w:rsidR="007C0402" w:rsidRPr="00AC70AE">
        <w:rPr>
          <w:b/>
          <w:color w:val="000000"/>
          <w:sz w:val="22"/>
          <w:szCs w:val="22"/>
        </w:rPr>
        <w:t>ACT</w:t>
      </w:r>
      <w:r w:rsidR="007C0402" w:rsidRPr="00AC70AE">
        <w:rPr>
          <w:color w:val="000000"/>
          <w:sz w:val="22"/>
          <w:szCs w:val="22"/>
        </w:rPr>
        <w:t>”), OR UNDER THE SECURITIES LAWS OF ANY STATE.  THESE SECURITIES ARE SUBJECT TO RESTRICTIONS ON TRANSFERABILITY AND RESALE AND MAY NOT BE TRANSFERRED OR RESOLD EXCEPT AS PERMITTED UNDER THE ACT AND THE APPLICABLE STATE SECURITIES LAWS, PURSUANT TO REGISTRATION OR EXEMPTION THEREFROM.  INVESTORS SHOULD BE AWARE THAT THEY MAY BE REQUIRED TO BEAR THE FINANCIAL RISKS OF THIS INVESTMENT FOR AN INDEFINITE PERIOD OF TIME.  THE ISSUER OF THIS NOTE AND THE SECURITIES INTO WHICH IT MAY BE CONVERTED MAY REQUIRE AN OPINION OF COUNSEL IN FORM AND SUBSTANCE REASONABLY SATISFACTORY TO THE ISSUER TO THE EFFECT THAT ANY PROPOSED TRANSFER OR RESALE IS IN COMPLIANCE WITH THE ACT AND ANY APPLICABLE STATE SECURITIES LAWS.</w:t>
      </w:r>
    </w:p>
    <w:p w14:paraId="48AB8489" w14:textId="485D598F" w:rsidR="007C0402" w:rsidRPr="00AC70AE" w:rsidRDefault="00C368E9" w:rsidP="00C368E9">
      <w:pPr>
        <w:jc w:val="center"/>
        <w:rPr>
          <w:b/>
          <w:bCs/>
          <w:color w:val="000000"/>
          <w:sz w:val="22"/>
          <w:szCs w:val="22"/>
        </w:rPr>
      </w:pPr>
      <w:r w:rsidRPr="00AC70AE">
        <w:rPr>
          <w:b/>
          <w:bCs/>
          <w:color w:val="000000"/>
          <w:sz w:val="22"/>
          <w:szCs w:val="22"/>
        </w:rPr>
        <w:t>[COMPANY NAME]</w:t>
      </w:r>
    </w:p>
    <w:p w14:paraId="770855C1" w14:textId="77777777" w:rsidR="007C0402" w:rsidRPr="00AC70AE" w:rsidRDefault="007C0402" w:rsidP="007C0402">
      <w:pPr>
        <w:jc w:val="center"/>
        <w:rPr>
          <w:b/>
          <w:bCs/>
          <w:color w:val="000000"/>
          <w:sz w:val="22"/>
          <w:szCs w:val="22"/>
        </w:rPr>
      </w:pPr>
      <w:r w:rsidRPr="00AC70AE">
        <w:rPr>
          <w:b/>
          <w:bCs/>
          <w:color w:val="000000"/>
          <w:sz w:val="22"/>
          <w:szCs w:val="22"/>
        </w:rPr>
        <w:t>CONVERTIBLE PROMISSORY NOTE</w:t>
      </w:r>
    </w:p>
    <w:p w14:paraId="15CED317" w14:textId="77777777" w:rsidR="007C0402" w:rsidRPr="00AC70AE" w:rsidRDefault="007C0402" w:rsidP="007C0402">
      <w:pPr>
        <w:jc w:val="center"/>
        <w:rPr>
          <w:color w:val="000000"/>
          <w:sz w:val="22"/>
          <w:szCs w:val="22"/>
        </w:rPr>
      </w:pPr>
    </w:p>
    <w:p w14:paraId="3A84C424" w14:textId="5FC7F771" w:rsidR="007C0402" w:rsidRPr="00AC70AE" w:rsidRDefault="007C0402" w:rsidP="007C0402">
      <w:pPr>
        <w:tabs>
          <w:tab w:val="left" w:pos="7020"/>
        </w:tabs>
        <w:jc w:val="left"/>
        <w:rPr>
          <w:color w:val="000000"/>
          <w:sz w:val="22"/>
          <w:szCs w:val="22"/>
        </w:rPr>
      </w:pPr>
      <w:r w:rsidRPr="00AC70AE">
        <w:rPr>
          <w:color w:val="000000"/>
          <w:sz w:val="22"/>
          <w:szCs w:val="22"/>
        </w:rPr>
        <w:t>$ _______</w:t>
      </w:r>
      <w:r w:rsidRPr="00AC70AE">
        <w:rPr>
          <w:color w:val="000000"/>
          <w:sz w:val="22"/>
          <w:szCs w:val="22"/>
        </w:rPr>
        <w:tab/>
      </w:r>
      <w:r w:rsidR="00C368E9" w:rsidRPr="00AC70AE">
        <w:rPr>
          <w:color w:val="000000"/>
          <w:sz w:val="22"/>
          <w:szCs w:val="22"/>
        </w:rPr>
        <w:t>[</w:t>
      </w:r>
      <w:r w:rsidRPr="00AC70AE">
        <w:rPr>
          <w:color w:val="000000"/>
          <w:sz w:val="22"/>
          <w:szCs w:val="22"/>
        </w:rPr>
        <w:t xml:space="preserve">_______ ___, </w:t>
      </w:r>
      <w:r w:rsidR="00C368E9" w:rsidRPr="00AC70AE">
        <w:rPr>
          <w:color w:val="000000"/>
          <w:sz w:val="22"/>
          <w:szCs w:val="22"/>
        </w:rPr>
        <w:softHyphen/>
      </w:r>
      <w:r w:rsidR="00C368E9" w:rsidRPr="00AC70AE">
        <w:rPr>
          <w:color w:val="000000"/>
          <w:sz w:val="22"/>
          <w:szCs w:val="22"/>
        </w:rPr>
        <w:softHyphen/>
        <w:t>____]</w:t>
      </w:r>
    </w:p>
    <w:p w14:paraId="1265680E" w14:textId="77777777" w:rsidR="007C0402" w:rsidRPr="00AC70AE" w:rsidRDefault="007C0402" w:rsidP="007C0402">
      <w:pPr>
        <w:tabs>
          <w:tab w:val="left" w:pos="7200"/>
        </w:tabs>
        <w:rPr>
          <w:color w:val="000000"/>
          <w:sz w:val="22"/>
          <w:szCs w:val="22"/>
        </w:rPr>
      </w:pPr>
    </w:p>
    <w:p w14:paraId="5755A5CB" w14:textId="47072E2E" w:rsidR="007C0402" w:rsidRPr="00AC70AE" w:rsidRDefault="007C0402" w:rsidP="007C0402">
      <w:pPr>
        <w:ind w:firstLine="720"/>
        <w:rPr>
          <w:color w:val="000000"/>
          <w:sz w:val="22"/>
          <w:szCs w:val="22"/>
        </w:rPr>
      </w:pPr>
      <w:r w:rsidRPr="00AC70AE">
        <w:rPr>
          <w:color w:val="000000"/>
          <w:sz w:val="22"/>
          <w:szCs w:val="22"/>
        </w:rPr>
        <w:t xml:space="preserve">FOR VALUE RECEIVED, </w:t>
      </w:r>
      <w:r w:rsidR="00C368E9" w:rsidRPr="00AC70AE">
        <w:rPr>
          <w:b/>
          <w:color w:val="000000"/>
          <w:sz w:val="22"/>
          <w:szCs w:val="22"/>
        </w:rPr>
        <w:t>[Company]</w:t>
      </w:r>
      <w:r w:rsidRPr="00AC70AE">
        <w:rPr>
          <w:color w:val="000000"/>
          <w:sz w:val="22"/>
          <w:szCs w:val="22"/>
        </w:rPr>
        <w:t xml:space="preserve"> a </w:t>
      </w:r>
      <w:r w:rsidR="00C368E9" w:rsidRPr="00AC70AE">
        <w:rPr>
          <w:color w:val="000000"/>
          <w:sz w:val="22"/>
          <w:szCs w:val="22"/>
        </w:rPr>
        <w:t>[</w:t>
      </w:r>
      <w:r w:rsidR="00346C5C" w:rsidRPr="00346C5C">
        <w:rPr>
          <w:b/>
          <w:bCs/>
          <w:color w:val="000000"/>
          <w:sz w:val="22"/>
          <w:szCs w:val="22"/>
          <w:highlight w:val="yellow"/>
        </w:rPr>
        <w:t>State of Incorporation</w:t>
      </w:r>
      <w:r w:rsidR="00C368E9" w:rsidRPr="00AC70AE">
        <w:rPr>
          <w:color w:val="000000"/>
          <w:sz w:val="22"/>
          <w:szCs w:val="22"/>
        </w:rPr>
        <w:t>]</w:t>
      </w:r>
      <w:r w:rsidRPr="00AC70AE">
        <w:rPr>
          <w:color w:val="000000"/>
          <w:sz w:val="22"/>
          <w:szCs w:val="22"/>
        </w:rPr>
        <w:t xml:space="preserve"> corporation (the “</w:t>
      </w:r>
      <w:r w:rsidRPr="00AC70AE">
        <w:rPr>
          <w:b/>
          <w:bCs/>
          <w:color w:val="000000"/>
          <w:sz w:val="22"/>
          <w:szCs w:val="22"/>
        </w:rPr>
        <w:t>Borrower</w:t>
      </w:r>
      <w:r w:rsidRPr="00AC70AE">
        <w:rPr>
          <w:color w:val="000000"/>
          <w:sz w:val="22"/>
          <w:szCs w:val="22"/>
        </w:rPr>
        <w:t>”), hereby promises to pay to ______________</w:t>
      </w:r>
      <w:r w:rsidRPr="00AC70AE">
        <w:rPr>
          <w:b/>
          <w:color w:val="000000"/>
          <w:sz w:val="22"/>
          <w:szCs w:val="22"/>
        </w:rPr>
        <w:t xml:space="preserve"> </w:t>
      </w:r>
      <w:r w:rsidRPr="00AC70AE">
        <w:rPr>
          <w:color w:val="000000"/>
          <w:sz w:val="22"/>
          <w:szCs w:val="22"/>
        </w:rPr>
        <w:t>(the “</w:t>
      </w:r>
      <w:r w:rsidRPr="00AC70AE">
        <w:rPr>
          <w:b/>
          <w:bCs/>
          <w:color w:val="000000"/>
          <w:sz w:val="22"/>
          <w:szCs w:val="22"/>
        </w:rPr>
        <w:t>Lender</w:t>
      </w:r>
      <w:r w:rsidRPr="00AC70AE">
        <w:rPr>
          <w:color w:val="000000"/>
          <w:sz w:val="22"/>
          <w:szCs w:val="22"/>
        </w:rPr>
        <w:t xml:space="preserve">”), on or after </w:t>
      </w:r>
      <w:r w:rsidR="00C368E9" w:rsidRPr="00AC70AE">
        <w:rPr>
          <w:color w:val="000000"/>
          <w:sz w:val="22"/>
          <w:szCs w:val="22"/>
        </w:rPr>
        <w:t>[</w:t>
      </w:r>
      <w:r w:rsidRPr="00AC70AE">
        <w:rPr>
          <w:color w:val="000000"/>
          <w:sz w:val="22"/>
          <w:szCs w:val="22"/>
        </w:rPr>
        <w:t xml:space="preserve">____________, </w:t>
      </w:r>
      <w:r w:rsidR="00C368E9" w:rsidRPr="00AC70AE">
        <w:rPr>
          <w:color w:val="000000"/>
          <w:sz w:val="22"/>
          <w:szCs w:val="22"/>
        </w:rPr>
        <w:softHyphen/>
      </w:r>
      <w:r w:rsidR="00C368E9" w:rsidRPr="00AC70AE">
        <w:rPr>
          <w:color w:val="000000"/>
          <w:sz w:val="22"/>
          <w:szCs w:val="22"/>
        </w:rPr>
        <w:softHyphen/>
      </w:r>
      <w:r w:rsidR="00C368E9" w:rsidRPr="00AC70AE">
        <w:rPr>
          <w:color w:val="000000"/>
          <w:sz w:val="22"/>
          <w:szCs w:val="22"/>
        </w:rPr>
        <w:softHyphen/>
      </w:r>
      <w:r w:rsidR="00C368E9" w:rsidRPr="00AC70AE">
        <w:rPr>
          <w:color w:val="000000"/>
          <w:sz w:val="22"/>
          <w:szCs w:val="22"/>
        </w:rPr>
        <w:softHyphen/>
        <w:t>____]</w:t>
      </w:r>
      <w:r w:rsidRPr="00AC70AE">
        <w:rPr>
          <w:color w:val="000000"/>
          <w:sz w:val="22"/>
          <w:szCs w:val="22"/>
        </w:rPr>
        <w:t xml:space="preserve"> ON DEMAND (subject to the approval of the holders of a majority of the principal amount outstanding of all of the Notes and </w:t>
      </w:r>
      <w:r w:rsidRPr="00AC70AE">
        <w:rPr>
          <w:color w:val="000000"/>
          <w:sz w:val="22"/>
          <w:szCs w:val="22"/>
          <w:u w:val="single"/>
        </w:rPr>
        <w:t>Sections 4</w:t>
      </w:r>
      <w:r w:rsidRPr="00AC70AE">
        <w:rPr>
          <w:color w:val="000000"/>
          <w:sz w:val="22"/>
          <w:szCs w:val="22"/>
        </w:rPr>
        <w:t xml:space="preserve"> and </w:t>
      </w:r>
      <w:r w:rsidRPr="00AC70AE">
        <w:rPr>
          <w:color w:val="000000"/>
          <w:sz w:val="22"/>
          <w:szCs w:val="22"/>
          <w:u w:val="single"/>
        </w:rPr>
        <w:t>5</w:t>
      </w:r>
      <w:r w:rsidRPr="00AC70AE">
        <w:rPr>
          <w:color w:val="000000"/>
          <w:sz w:val="22"/>
          <w:szCs w:val="22"/>
        </w:rPr>
        <w:t xml:space="preserve"> herein) (such date, the “</w:t>
      </w:r>
      <w:r w:rsidRPr="00AC70AE">
        <w:rPr>
          <w:b/>
          <w:bCs/>
          <w:color w:val="000000"/>
          <w:sz w:val="22"/>
          <w:szCs w:val="22"/>
        </w:rPr>
        <w:t>Maturity Date</w:t>
      </w:r>
      <w:r w:rsidRPr="00AC70AE">
        <w:rPr>
          <w:color w:val="000000"/>
          <w:sz w:val="22"/>
          <w:szCs w:val="22"/>
        </w:rPr>
        <w:t xml:space="preserve">”) the principal sum of </w:t>
      </w:r>
      <w:r w:rsidRPr="00AC70AE">
        <w:rPr>
          <w:b/>
          <w:color w:val="000000"/>
          <w:sz w:val="22"/>
          <w:szCs w:val="22"/>
        </w:rPr>
        <w:t>$ ____________</w:t>
      </w:r>
      <w:r w:rsidRPr="00AC70AE">
        <w:rPr>
          <w:color w:val="000000"/>
          <w:sz w:val="22"/>
          <w:szCs w:val="22"/>
        </w:rPr>
        <w:t xml:space="preserve"> together with simple interest on the principal accruing on and from the date hereof at an annual rate equal to </w:t>
      </w:r>
      <w:r w:rsidR="00C368E9" w:rsidRPr="00AC70AE">
        <w:rPr>
          <w:color w:val="000000"/>
          <w:sz w:val="22"/>
          <w:szCs w:val="22"/>
        </w:rPr>
        <w:t>[</w:t>
      </w:r>
      <w:r w:rsidRPr="00AC70AE">
        <w:rPr>
          <w:color w:val="000000"/>
          <w:sz w:val="22"/>
          <w:szCs w:val="22"/>
          <w:highlight w:val="yellow"/>
        </w:rPr>
        <w:t>eight</w:t>
      </w:r>
      <w:r w:rsidR="009646B3" w:rsidRPr="009646B3">
        <w:rPr>
          <w:color w:val="000000"/>
          <w:sz w:val="22"/>
          <w:szCs w:val="22"/>
        </w:rPr>
        <w:t>]</w:t>
      </w:r>
      <w:r w:rsidRPr="009646B3">
        <w:rPr>
          <w:color w:val="000000"/>
          <w:sz w:val="22"/>
          <w:szCs w:val="22"/>
        </w:rPr>
        <w:t xml:space="preserve"> percent (</w:t>
      </w:r>
      <w:r w:rsidR="009646B3" w:rsidRPr="009646B3">
        <w:rPr>
          <w:color w:val="000000"/>
          <w:sz w:val="22"/>
          <w:szCs w:val="22"/>
        </w:rPr>
        <w:t>[</w:t>
      </w:r>
      <w:r w:rsidR="009646B3">
        <w:rPr>
          <w:color w:val="000000"/>
          <w:sz w:val="22"/>
          <w:szCs w:val="22"/>
          <w:highlight w:val="yellow"/>
        </w:rPr>
        <w:t>__]</w:t>
      </w:r>
      <w:r w:rsidRPr="00AC70AE">
        <w:rPr>
          <w:color w:val="000000"/>
          <w:sz w:val="22"/>
          <w:szCs w:val="22"/>
          <w:highlight w:val="yellow"/>
        </w:rPr>
        <w:t>%</w:t>
      </w:r>
      <w:r w:rsidRPr="009646B3">
        <w:rPr>
          <w:color w:val="000000"/>
          <w:sz w:val="22"/>
          <w:szCs w:val="22"/>
        </w:rPr>
        <w:t>)</w:t>
      </w:r>
      <w:r w:rsidR="00C368E9" w:rsidRPr="00AC70AE">
        <w:rPr>
          <w:color w:val="000000"/>
          <w:sz w:val="22"/>
          <w:szCs w:val="22"/>
        </w:rPr>
        <w:t>]</w:t>
      </w:r>
      <w:r w:rsidRPr="00AC70AE">
        <w:rPr>
          <w:color w:val="000000"/>
          <w:sz w:val="22"/>
          <w:szCs w:val="22"/>
        </w:rPr>
        <w:t>.  Interest shall be calculated based on a 360-day year of twelve 30-day months.  Notwithstanding any other provision of this convertible promissory note (the “</w:t>
      </w:r>
      <w:r w:rsidRPr="00AC70AE">
        <w:rPr>
          <w:b/>
          <w:bCs/>
          <w:color w:val="000000"/>
          <w:sz w:val="22"/>
          <w:szCs w:val="22"/>
        </w:rPr>
        <w:t>Note</w:t>
      </w:r>
      <w:r w:rsidRPr="00AC70AE">
        <w:rPr>
          <w:color w:val="000000"/>
          <w:sz w:val="22"/>
          <w:szCs w:val="22"/>
        </w:rPr>
        <w:t>”), the Lender does not intend to charge and the Borrower shall not be required to pay any interest or other fees or charges in excess of the maximum permitted by applicable law; any payments in excess of such maximum shall be refunded to the Borrower or credited to reduce principal hereunder.  Principal and all accrued interest thereon shall be payable in immediately available funds only following an Event of Default (as defined below) in accordance with the terms of this Note.  This Note is one of a series of Convertible Promissory Notes (collectively, the “</w:t>
      </w:r>
      <w:r w:rsidRPr="00AC70AE">
        <w:rPr>
          <w:b/>
          <w:bCs/>
          <w:color w:val="000000"/>
          <w:sz w:val="22"/>
          <w:szCs w:val="22"/>
        </w:rPr>
        <w:t>Notes</w:t>
      </w:r>
      <w:r w:rsidRPr="00AC70AE">
        <w:rPr>
          <w:color w:val="000000"/>
          <w:sz w:val="22"/>
          <w:szCs w:val="22"/>
        </w:rPr>
        <w:t>”) issued pursuant to that certain Note Purchase Agreement (the “</w:t>
      </w:r>
      <w:r w:rsidRPr="00AC70AE">
        <w:rPr>
          <w:b/>
          <w:bCs/>
          <w:color w:val="000000"/>
          <w:sz w:val="22"/>
          <w:szCs w:val="22"/>
        </w:rPr>
        <w:t>Note Purchase Agreement</w:t>
      </w:r>
      <w:r w:rsidRPr="00AC70AE">
        <w:rPr>
          <w:color w:val="000000"/>
          <w:sz w:val="22"/>
          <w:szCs w:val="22"/>
        </w:rPr>
        <w:t xml:space="preserve">”), dated as of </w:t>
      </w:r>
      <w:r w:rsidR="00C368E9" w:rsidRPr="00AC70AE">
        <w:rPr>
          <w:color w:val="000000"/>
          <w:sz w:val="22"/>
          <w:szCs w:val="22"/>
        </w:rPr>
        <w:t>[</w:t>
      </w:r>
      <w:r w:rsidRPr="00AC70AE">
        <w:rPr>
          <w:color w:val="000000"/>
          <w:sz w:val="22"/>
          <w:szCs w:val="22"/>
        </w:rPr>
        <w:t xml:space="preserve">_________ __, </w:t>
      </w:r>
      <w:r w:rsidR="00C368E9" w:rsidRPr="00AC70AE">
        <w:rPr>
          <w:color w:val="000000"/>
          <w:sz w:val="22"/>
          <w:szCs w:val="22"/>
        </w:rPr>
        <w:t>____]</w:t>
      </w:r>
      <w:r w:rsidRPr="00AC70AE">
        <w:rPr>
          <w:color w:val="000000"/>
          <w:sz w:val="22"/>
          <w:szCs w:val="22"/>
        </w:rPr>
        <w:t xml:space="preserve">, between the Borrower and the Investors (as defined therein) and is subject to the terms and conditions of the Note Purchase Agreement.  The Notes rank </w:t>
      </w:r>
      <w:r w:rsidRPr="00AC70AE">
        <w:rPr>
          <w:i/>
          <w:color w:val="000000"/>
          <w:sz w:val="22"/>
          <w:szCs w:val="22"/>
        </w:rPr>
        <w:t>pari passu</w:t>
      </w:r>
      <w:r w:rsidRPr="00AC70AE">
        <w:rPr>
          <w:color w:val="000000"/>
          <w:sz w:val="22"/>
          <w:szCs w:val="22"/>
        </w:rPr>
        <w:t xml:space="preserve"> in right of payment, and all payments on the Notes shall be paid to the holders thereof pro rata based on the respective principal balances of the Notes.  For the avoidance of doubt, in the event of any migratory merger, reincorporation or similar reorganization of the Borrower in which the shareholders of the Borrower immediately prior to such event continue to own, directly or indirectly, at least a majority of the equity interests in the successor entity following such event (a “</w:t>
      </w:r>
      <w:r w:rsidRPr="00AC70AE">
        <w:rPr>
          <w:b/>
          <w:bCs/>
          <w:color w:val="000000"/>
          <w:sz w:val="22"/>
          <w:szCs w:val="22"/>
        </w:rPr>
        <w:t>Migratory Transaction</w:t>
      </w:r>
      <w:r w:rsidRPr="00AC70AE">
        <w:rPr>
          <w:color w:val="000000"/>
          <w:sz w:val="22"/>
          <w:szCs w:val="22"/>
        </w:rPr>
        <w:t xml:space="preserve">”), this Note </w:t>
      </w:r>
      <w:r w:rsidRPr="00AC70AE">
        <w:rPr>
          <w:color w:val="000000"/>
          <w:sz w:val="22"/>
          <w:szCs w:val="22"/>
        </w:rPr>
        <w:lastRenderedPageBreak/>
        <w:t>shall become an obligation of such successor entity of the Borrower and such successor entity shall be deemed to be the “Borrower” for all purposes under this Note.</w:t>
      </w:r>
    </w:p>
    <w:p w14:paraId="0BC64C3E" w14:textId="77777777" w:rsidR="007C0402" w:rsidRPr="00AC70AE" w:rsidRDefault="007C0402" w:rsidP="007C0402">
      <w:pPr>
        <w:ind w:firstLine="720"/>
        <w:rPr>
          <w:color w:val="000000"/>
          <w:sz w:val="22"/>
          <w:szCs w:val="22"/>
        </w:rPr>
      </w:pPr>
      <w:r w:rsidRPr="00AC70AE">
        <w:rPr>
          <w:color w:val="000000"/>
          <w:sz w:val="22"/>
          <w:szCs w:val="22"/>
        </w:rPr>
        <w:t>1.</w:t>
      </w:r>
      <w:r w:rsidRPr="00AC70AE">
        <w:rPr>
          <w:color w:val="000000"/>
          <w:sz w:val="22"/>
          <w:szCs w:val="22"/>
        </w:rPr>
        <w:tab/>
      </w:r>
      <w:r w:rsidRPr="00AC70AE">
        <w:rPr>
          <w:b/>
          <w:bCs/>
          <w:color w:val="000000"/>
          <w:sz w:val="22"/>
          <w:szCs w:val="22"/>
          <w:u w:val="single"/>
        </w:rPr>
        <w:t>Payment</w:t>
      </w:r>
      <w:r w:rsidRPr="00AC70AE">
        <w:rPr>
          <w:b/>
          <w:bCs/>
          <w:color w:val="000000"/>
          <w:sz w:val="22"/>
          <w:szCs w:val="22"/>
        </w:rPr>
        <w:t>.</w:t>
      </w:r>
      <w:r w:rsidRPr="00AC70AE">
        <w:rPr>
          <w:color w:val="000000"/>
          <w:sz w:val="22"/>
          <w:szCs w:val="22"/>
        </w:rPr>
        <w:t xml:space="preserve">  The principal amount of this Note and all accrued and unpaid interest thereon shall be immediately due and payable to the Lender upon the occurrence of an Event of Default (as defined below), subject to the approval of the holders as may be required by </w:t>
      </w:r>
      <w:r w:rsidRPr="00AC70AE">
        <w:rPr>
          <w:color w:val="000000"/>
          <w:sz w:val="22"/>
          <w:szCs w:val="22"/>
          <w:u w:val="single"/>
        </w:rPr>
        <w:t>Section 5</w:t>
      </w:r>
      <w:r w:rsidRPr="00AC70AE">
        <w:rPr>
          <w:color w:val="000000"/>
          <w:sz w:val="22"/>
          <w:szCs w:val="22"/>
        </w:rPr>
        <w:t xml:space="preserve"> hereof and unless previously converted into equity securities of the Borrower pursuant to the terms of </w:t>
      </w:r>
      <w:r w:rsidRPr="00AC70AE">
        <w:rPr>
          <w:color w:val="000000"/>
          <w:sz w:val="22"/>
          <w:szCs w:val="22"/>
          <w:u w:val="single"/>
        </w:rPr>
        <w:t>Section 4</w:t>
      </w:r>
      <w:r w:rsidRPr="00AC70AE">
        <w:rPr>
          <w:color w:val="000000"/>
          <w:sz w:val="22"/>
          <w:szCs w:val="22"/>
        </w:rPr>
        <w:t xml:space="preserve"> hereof. All cash payments on account of principal and interest shall be made in lawful money of the United States of America at the principal office of the Lender, or such other place as the holder hereof may from time to time designate in writing to the Borrower.  This Note may not be prepaid without the consent of the holder.  Notwithstanding anything to the contrary herein, the Borrower may repay the principal and any accrued interest under this Note at any time on or following the Maturity Date.</w:t>
      </w:r>
    </w:p>
    <w:p w14:paraId="5167A4CA" w14:textId="77777777" w:rsidR="007C0402" w:rsidRPr="00AC70AE" w:rsidRDefault="007C0402" w:rsidP="007C0402">
      <w:pPr>
        <w:ind w:firstLine="720"/>
        <w:rPr>
          <w:color w:val="000000"/>
          <w:sz w:val="22"/>
          <w:szCs w:val="22"/>
        </w:rPr>
      </w:pPr>
      <w:r w:rsidRPr="00AC70AE">
        <w:rPr>
          <w:color w:val="000000"/>
          <w:sz w:val="22"/>
          <w:szCs w:val="22"/>
        </w:rPr>
        <w:t>2.</w:t>
      </w:r>
      <w:r w:rsidRPr="00AC70AE">
        <w:rPr>
          <w:color w:val="000000"/>
          <w:sz w:val="22"/>
          <w:szCs w:val="22"/>
        </w:rPr>
        <w:tab/>
      </w:r>
      <w:r w:rsidRPr="00AC70AE">
        <w:rPr>
          <w:b/>
          <w:bCs/>
          <w:color w:val="000000"/>
          <w:sz w:val="22"/>
          <w:szCs w:val="22"/>
          <w:u w:val="single"/>
        </w:rPr>
        <w:t>Transfer and Exchange</w:t>
      </w:r>
      <w:r w:rsidRPr="00AC70AE">
        <w:rPr>
          <w:b/>
          <w:bCs/>
          <w:color w:val="000000"/>
          <w:sz w:val="22"/>
          <w:szCs w:val="22"/>
        </w:rPr>
        <w:t>.</w:t>
      </w:r>
      <w:r w:rsidRPr="00AC70AE">
        <w:rPr>
          <w:color w:val="000000"/>
          <w:sz w:val="22"/>
          <w:szCs w:val="22"/>
        </w:rPr>
        <w:t xml:space="preserve">  Subject to the terms set forth below and to the restrictions on transfer contained in the Note Purchase Agreement, the holder of this Note may, prior to maturity thereof, surrender such Note at the principal office of the Borrower for transfer or exchange.  Within a reasonable time after notice to the Borrower from such holder of its intention to make such exchange and without expense to such holder, except for any transfer or similar tax which may be imposed on the transfer or exchange, the Borrower shall issue in exchange therefor another note or notes (each also a “</w:t>
      </w:r>
      <w:r w:rsidRPr="00AC70AE">
        <w:rPr>
          <w:b/>
          <w:bCs/>
          <w:color w:val="000000"/>
          <w:sz w:val="22"/>
          <w:szCs w:val="22"/>
        </w:rPr>
        <w:t>Note</w:t>
      </w:r>
      <w:r w:rsidRPr="00AC70AE">
        <w:rPr>
          <w:color w:val="000000"/>
          <w:sz w:val="22"/>
          <w:szCs w:val="22"/>
        </w:rPr>
        <w:t xml:space="preserve">”) for the same aggregate principal amount as the unpaid principal amount of the Note so surrendered, having the same maturity and rate of interest, containing the same provisions and subject to the same terms and conditions as the Note so surrendered.  Each new Note shall be made payable to such person or persons, or transferees, as the holder of such surrendered Note may designate, and such transfer or exchange shall be made in such a manner that no gain or loss of principal or interest shall result therefrom.  The Borrower may elect not to permit a transfer of the Note if it has not obtained satisfactory assurance that such transfer:  (a) is exempt from the registration requirements of, or covered by an effective registration statement under, the Securities Act of 1933, as amended, and the rules and regulations thereunder, (b) is in compliance with all applicable state securities laws, including without limitation, upon the request of Borrower, receipt of an opinion of counsel reasonably satisfactory to the Borrower; </w:t>
      </w:r>
      <w:r w:rsidRPr="00AC70AE">
        <w:rPr>
          <w:color w:val="000000"/>
          <w:sz w:val="22"/>
          <w:szCs w:val="22"/>
          <w:u w:val="single"/>
        </w:rPr>
        <w:t>provided</w:t>
      </w:r>
      <w:r w:rsidRPr="00AC70AE">
        <w:rPr>
          <w:color w:val="000000"/>
          <w:sz w:val="22"/>
          <w:szCs w:val="22"/>
        </w:rPr>
        <w:t xml:space="preserve">, </w:t>
      </w:r>
      <w:r w:rsidRPr="00AC70AE">
        <w:rPr>
          <w:color w:val="000000"/>
          <w:sz w:val="22"/>
          <w:szCs w:val="22"/>
          <w:u w:val="single"/>
        </w:rPr>
        <w:t>however</w:t>
      </w:r>
      <w:r w:rsidRPr="00AC70AE">
        <w:rPr>
          <w:color w:val="000000"/>
          <w:sz w:val="22"/>
          <w:szCs w:val="22"/>
        </w:rPr>
        <w:t>, that no opinion of counsel shall be required in the event of a transfer to an “affiliate” as defined in Rule 12b-2 of the Securities Exchange Act of 1934, as amended; and (c) is in compliance with the restrictions on transfer contained in the Note Purchase Agreement.</w:t>
      </w:r>
    </w:p>
    <w:p w14:paraId="1029B10D" w14:textId="77777777" w:rsidR="007C0402" w:rsidRPr="00AC70AE" w:rsidRDefault="007C0402" w:rsidP="007C0402">
      <w:pPr>
        <w:ind w:firstLine="720"/>
        <w:rPr>
          <w:color w:val="000000"/>
          <w:sz w:val="22"/>
          <w:szCs w:val="22"/>
        </w:rPr>
      </w:pPr>
      <w:r w:rsidRPr="00AC70AE">
        <w:rPr>
          <w:color w:val="000000"/>
          <w:sz w:val="22"/>
          <w:szCs w:val="22"/>
        </w:rPr>
        <w:t>3.</w:t>
      </w:r>
      <w:r w:rsidRPr="00AC70AE">
        <w:rPr>
          <w:color w:val="000000"/>
          <w:sz w:val="22"/>
          <w:szCs w:val="22"/>
        </w:rPr>
        <w:tab/>
      </w:r>
      <w:r w:rsidRPr="00AC70AE">
        <w:rPr>
          <w:b/>
          <w:bCs/>
          <w:color w:val="000000"/>
          <w:sz w:val="22"/>
          <w:szCs w:val="22"/>
          <w:u w:val="single"/>
        </w:rPr>
        <w:t>New Note</w:t>
      </w:r>
      <w:r w:rsidRPr="00AC70AE">
        <w:rPr>
          <w:b/>
          <w:bCs/>
          <w:color w:val="000000"/>
          <w:sz w:val="22"/>
          <w:szCs w:val="22"/>
        </w:rPr>
        <w:t>.</w:t>
      </w:r>
      <w:r w:rsidRPr="00AC70AE">
        <w:rPr>
          <w:color w:val="000000"/>
          <w:sz w:val="22"/>
          <w:szCs w:val="22"/>
        </w:rPr>
        <w:t xml:space="preserve">  Upon receipt of evidence reasonably satisfactory to the Borrower of the loss, theft, destruction or mutilation of this Note, including, without limitation, an affidavit of lost, stolen, mutilated or destroyed note, the Borrower will issue a new Note, of like tenor and amount in lieu of such lost, stolen, destroyed or mutilated Note, and in such event the Lender agrees to indemnify and hold harmless the Borrower in respect of any such lost, stolen, destroyed or mutilated Note. </w:t>
      </w:r>
    </w:p>
    <w:p w14:paraId="2A7A0722" w14:textId="77777777" w:rsidR="007C0402" w:rsidRPr="00AC70AE" w:rsidRDefault="007C0402" w:rsidP="007C0402">
      <w:pPr>
        <w:ind w:firstLine="720"/>
        <w:rPr>
          <w:color w:val="000000"/>
          <w:sz w:val="22"/>
          <w:szCs w:val="22"/>
        </w:rPr>
      </w:pPr>
      <w:r w:rsidRPr="00AC70AE">
        <w:rPr>
          <w:color w:val="000000"/>
          <w:sz w:val="22"/>
          <w:szCs w:val="22"/>
        </w:rPr>
        <w:t>4.</w:t>
      </w:r>
      <w:r w:rsidRPr="00AC70AE">
        <w:rPr>
          <w:color w:val="000000"/>
          <w:sz w:val="22"/>
          <w:szCs w:val="22"/>
        </w:rPr>
        <w:tab/>
      </w:r>
      <w:r w:rsidRPr="00AC70AE">
        <w:rPr>
          <w:b/>
          <w:bCs/>
          <w:color w:val="000000"/>
          <w:sz w:val="22"/>
          <w:szCs w:val="22"/>
          <w:u w:val="single"/>
        </w:rPr>
        <w:t>Conversion of Note</w:t>
      </w:r>
      <w:r w:rsidRPr="00AC70AE">
        <w:rPr>
          <w:b/>
          <w:bCs/>
          <w:color w:val="000000"/>
          <w:sz w:val="22"/>
          <w:szCs w:val="22"/>
        </w:rPr>
        <w:t>.</w:t>
      </w:r>
    </w:p>
    <w:p w14:paraId="26705ACD" w14:textId="5C18B0F7" w:rsidR="007C0402" w:rsidRPr="00AC70AE" w:rsidRDefault="007C0402" w:rsidP="007C0402">
      <w:pPr>
        <w:ind w:firstLine="720"/>
        <w:rPr>
          <w:color w:val="000000"/>
          <w:sz w:val="22"/>
          <w:szCs w:val="22"/>
        </w:rPr>
      </w:pPr>
      <w:r w:rsidRPr="00AC70AE">
        <w:rPr>
          <w:color w:val="000000"/>
          <w:sz w:val="22"/>
          <w:szCs w:val="22"/>
        </w:rPr>
        <w:tab/>
        <w:t>(a)</w:t>
      </w:r>
      <w:r w:rsidRPr="00AC70AE">
        <w:rPr>
          <w:color w:val="000000"/>
          <w:sz w:val="22"/>
          <w:szCs w:val="22"/>
        </w:rPr>
        <w:tab/>
      </w:r>
      <w:r w:rsidRPr="00AC70AE">
        <w:rPr>
          <w:b/>
          <w:bCs/>
          <w:color w:val="000000"/>
          <w:sz w:val="22"/>
          <w:szCs w:val="22"/>
          <w:u w:val="single"/>
        </w:rPr>
        <w:t>Mandatory Conversion of Note Upon Closing of a Qualified Financing</w:t>
      </w:r>
      <w:r w:rsidRPr="00AC70AE">
        <w:rPr>
          <w:b/>
          <w:bCs/>
          <w:color w:val="000000"/>
          <w:sz w:val="22"/>
          <w:szCs w:val="22"/>
        </w:rPr>
        <w:t>.</w:t>
      </w:r>
      <w:r w:rsidRPr="00AC70AE">
        <w:rPr>
          <w:color w:val="000000"/>
          <w:sz w:val="22"/>
          <w:szCs w:val="22"/>
        </w:rPr>
        <w:t xml:space="preserve">  If this Note remains outstanding upon the closing of a Qualified Financing (as defined below) and an Event of Default has not occurred or has otherwise been waived, interest shall stop accruing as of the date of such closing and the entire outstanding amount of principal and accrued but unpaid interest of this Note (the “</w:t>
      </w:r>
      <w:r w:rsidRPr="00AC70AE">
        <w:rPr>
          <w:b/>
          <w:bCs/>
          <w:color w:val="000000"/>
          <w:sz w:val="22"/>
          <w:szCs w:val="22"/>
        </w:rPr>
        <w:t>Outstanding Amount</w:t>
      </w:r>
      <w:r w:rsidRPr="00AC70AE">
        <w:rPr>
          <w:color w:val="000000"/>
          <w:sz w:val="22"/>
          <w:szCs w:val="22"/>
        </w:rPr>
        <w:t>”) shall automatically (with no further action required on the part of the Borrower or the Lender) be converted into such number of shares of the identical equity security issued to the investors in the Qualified Financing (the “</w:t>
      </w:r>
      <w:r w:rsidRPr="00AC70AE">
        <w:rPr>
          <w:b/>
          <w:bCs/>
          <w:color w:val="000000"/>
          <w:sz w:val="22"/>
          <w:szCs w:val="22"/>
        </w:rPr>
        <w:t>Financing Shares</w:t>
      </w:r>
      <w:r w:rsidRPr="00AC70AE">
        <w:rPr>
          <w:color w:val="000000"/>
          <w:sz w:val="22"/>
          <w:szCs w:val="22"/>
        </w:rPr>
        <w:t xml:space="preserve">”) equal to the quotient obtained by dividing (i) the Outstanding Amount by (ii) the lesser of (y) the Cap Price, as defined below, or (z) the product obtained by multiplying the price per share at which Financing Shares are sold in the Qualified Financing by </w:t>
      </w:r>
      <w:r w:rsidR="00AC70AE" w:rsidRPr="00AC70AE">
        <w:rPr>
          <w:color w:val="000000"/>
          <w:sz w:val="22"/>
          <w:szCs w:val="22"/>
        </w:rPr>
        <w:t>[</w:t>
      </w:r>
      <w:r w:rsidR="009646B3" w:rsidRPr="009646B3">
        <w:rPr>
          <w:color w:val="000000"/>
          <w:sz w:val="22"/>
          <w:szCs w:val="22"/>
          <w:highlight w:val="yellow"/>
        </w:rPr>
        <w:t>___</w:t>
      </w:r>
      <w:r w:rsidR="00AC70AE" w:rsidRPr="00AC70AE">
        <w:rPr>
          <w:b/>
          <w:color w:val="000000"/>
          <w:sz w:val="22"/>
          <w:szCs w:val="22"/>
        </w:rPr>
        <w:t>]</w:t>
      </w:r>
      <w:r w:rsidRPr="00AC70AE">
        <w:rPr>
          <w:color w:val="000000"/>
          <w:sz w:val="22"/>
          <w:szCs w:val="22"/>
        </w:rPr>
        <w:t xml:space="preserve">.  At the request of the Borrower and as a condition to receiving such Financing Shares, the holder of this Note shall become a party to all other documents and agreements entered into by the investors in the Qualified Financing; provided, however, that the holder shall be entitled to the same general rights, privileges, powers and benefits afforded to other investors in the Qualified Financing (including, without limitation, registration rights, preemptive rights, tag along rights, come along rights, rights of first and second refusal and the like) but excluding (A) rights that may be afforded to “Major Investors” or similar concepts that may be used in such Qualified Financing (unless the Note holder otherwise meets the qualifications therefore as such concepts may be defined in the definitive documents to be executed in connection with the Qualified Financing) or (B) board or observer rights that are negotiated by certain investors.  </w:t>
      </w:r>
    </w:p>
    <w:p w14:paraId="3F582DD5" w14:textId="6C24F1CB" w:rsidR="007C0402" w:rsidRPr="00AC70AE" w:rsidRDefault="007C0402" w:rsidP="007C0402">
      <w:pPr>
        <w:ind w:left="720"/>
        <w:rPr>
          <w:sz w:val="22"/>
          <w:szCs w:val="22"/>
        </w:rPr>
      </w:pPr>
      <w:r w:rsidRPr="00AC70AE">
        <w:rPr>
          <w:color w:val="000000"/>
          <w:sz w:val="22"/>
          <w:szCs w:val="22"/>
        </w:rPr>
        <w:tab/>
      </w:r>
      <w:r w:rsidRPr="00AC70AE">
        <w:rPr>
          <w:color w:val="000000"/>
          <w:sz w:val="22"/>
          <w:szCs w:val="22"/>
        </w:rPr>
        <w:tab/>
        <w:t>(i)</w:t>
      </w:r>
      <w:r w:rsidRPr="00AC70AE">
        <w:rPr>
          <w:color w:val="000000"/>
          <w:sz w:val="22"/>
          <w:szCs w:val="22"/>
        </w:rPr>
        <w:tab/>
      </w:r>
      <w:r w:rsidRPr="00AC70AE">
        <w:rPr>
          <w:b/>
          <w:bCs/>
          <w:sz w:val="22"/>
          <w:szCs w:val="22"/>
          <w:u w:val="single"/>
        </w:rPr>
        <w:t>Qualified Financing</w:t>
      </w:r>
      <w:r w:rsidRPr="00AC70AE">
        <w:rPr>
          <w:b/>
          <w:bCs/>
          <w:sz w:val="22"/>
          <w:szCs w:val="22"/>
        </w:rPr>
        <w:t>.</w:t>
      </w:r>
      <w:r w:rsidRPr="00AC70AE">
        <w:rPr>
          <w:sz w:val="22"/>
          <w:szCs w:val="22"/>
        </w:rPr>
        <w:t xml:space="preserve"> The term “</w:t>
      </w:r>
      <w:r w:rsidRPr="00AC70AE">
        <w:rPr>
          <w:b/>
          <w:bCs/>
          <w:sz w:val="22"/>
          <w:szCs w:val="22"/>
        </w:rPr>
        <w:t>Qualified Financing</w:t>
      </w:r>
      <w:r w:rsidRPr="00AC70AE">
        <w:rPr>
          <w:sz w:val="22"/>
          <w:szCs w:val="22"/>
        </w:rPr>
        <w:t xml:space="preserve">” shall mean any equity security financing for the account of the Borrower consummated in one or a series of related transactions (1) which occurs on or before the Maturity Date, and (2) pursuant to which the aggregate gross proceeds received by the Borrower (excluding all of the principal and interest amount of the Notes and any other promissory notes issued by Borrower that are converted in such Qualified Financing) equals or exceeds </w:t>
      </w:r>
      <w:r w:rsidRPr="009646B3">
        <w:rPr>
          <w:b/>
          <w:sz w:val="22"/>
          <w:szCs w:val="22"/>
        </w:rPr>
        <w:t>$</w:t>
      </w:r>
      <w:r w:rsidR="009646B3" w:rsidRPr="009646B3">
        <w:rPr>
          <w:b/>
          <w:sz w:val="22"/>
          <w:szCs w:val="22"/>
        </w:rPr>
        <w:t>[</w:t>
      </w:r>
      <w:r w:rsidR="009646B3">
        <w:rPr>
          <w:b/>
          <w:sz w:val="22"/>
          <w:szCs w:val="22"/>
          <w:highlight w:val="yellow"/>
        </w:rPr>
        <w:t>_______</w:t>
      </w:r>
      <w:r w:rsidR="00AC70AE" w:rsidRPr="00AC70AE">
        <w:rPr>
          <w:b/>
          <w:sz w:val="22"/>
          <w:szCs w:val="22"/>
        </w:rPr>
        <w:t>]</w:t>
      </w:r>
      <w:r w:rsidRPr="00AC70AE">
        <w:rPr>
          <w:sz w:val="22"/>
          <w:szCs w:val="22"/>
        </w:rPr>
        <w:t>.</w:t>
      </w:r>
    </w:p>
    <w:p w14:paraId="34E32988" w14:textId="234B4C2F" w:rsidR="007C0402" w:rsidRPr="00AC70AE" w:rsidRDefault="007C0402" w:rsidP="007C0402">
      <w:pPr>
        <w:ind w:left="720"/>
        <w:rPr>
          <w:color w:val="000000"/>
          <w:sz w:val="22"/>
          <w:szCs w:val="22"/>
        </w:rPr>
      </w:pPr>
      <w:r w:rsidRPr="00AC70AE">
        <w:rPr>
          <w:color w:val="000000"/>
          <w:sz w:val="22"/>
          <w:szCs w:val="22"/>
        </w:rPr>
        <w:tab/>
      </w:r>
      <w:r w:rsidRPr="00AC70AE">
        <w:rPr>
          <w:color w:val="000000"/>
          <w:sz w:val="22"/>
          <w:szCs w:val="22"/>
        </w:rPr>
        <w:tab/>
        <w:t>(ii)</w:t>
      </w:r>
      <w:r w:rsidRPr="00AC70AE">
        <w:rPr>
          <w:b/>
          <w:bCs/>
          <w:color w:val="000000"/>
          <w:sz w:val="22"/>
          <w:szCs w:val="22"/>
        </w:rPr>
        <w:tab/>
      </w:r>
      <w:r w:rsidRPr="00AC70AE">
        <w:rPr>
          <w:b/>
          <w:bCs/>
          <w:color w:val="000000"/>
          <w:sz w:val="22"/>
          <w:szCs w:val="22"/>
          <w:u w:val="single"/>
        </w:rPr>
        <w:t>Cap Price</w:t>
      </w:r>
      <w:r w:rsidRPr="00AC70AE">
        <w:rPr>
          <w:b/>
          <w:bCs/>
          <w:color w:val="000000"/>
          <w:sz w:val="22"/>
          <w:szCs w:val="22"/>
        </w:rPr>
        <w:t>.</w:t>
      </w:r>
      <w:r w:rsidRPr="00AC70AE">
        <w:rPr>
          <w:color w:val="000000"/>
          <w:sz w:val="22"/>
          <w:szCs w:val="22"/>
        </w:rPr>
        <w:t xml:space="preserve">  The applicable “</w:t>
      </w:r>
      <w:r w:rsidRPr="00AC70AE">
        <w:rPr>
          <w:b/>
          <w:bCs/>
          <w:color w:val="000000"/>
          <w:sz w:val="22"/>
          <w:szCs w:val="22"/>
        </w:rPr>
        <w:t>Cap Price</w:t>
      </w:r>
      <w:r w:rsidRPr="00AC70AE">
        <w:rPr>
          <w:color w:val="000000"/>
          <w:sz w:val="22"/>
          <w:szCs w:val="22"/>
        </w:rPr>
        <w:t xml:space="preserve">” at any point in time shall be equal to the quotient obtained by dividing </w:t>
      </w:r>
      <w:r w:rsidR="009646B3">
        <w:rPr>
          <w:color w:val="000000"/>
          <w:sz w:val="22"/>
          <w:szCs w:val="22"/>
        </w:rPr>
        <w:t>$</w:t>
      </w:r>
      <w:r w:rsidR="009646B3" w:rsidRPr="009646B3">
        <w:rPr>
          <w:b/>
          <w:sz w:val="22"/>
          <w:szCs w:val="22"/>
        </w:rPr>
        <w:t>[</w:t>
      </w:r>
      <w:r w:rsidR="009646B3">
        <w:rPr>
          <w:b/>
          <w:sz w:val="22"/>
          <w:szCs w:val="22"/>
          <w:highlight w:val="yellow"/>
        </w:rPr>
        <w:t>_______</w:t>
      </w:r>
      <w:r w:rsidR="009646B3" w:rsidRPr="00AC70AE">
        <w:rPr>
          <w:b/>
          <w:sz w:val="22"/>
          <w:szCs w:val="22"/>
        </w:rPr>
        <w:t>]</w:t>
      </w:r>
      <w:r w:rsidRPr="00AC70AE">
        <w:rPr>
          <w:color w:val="000000"/>
          <w:sz w:val="22"/>
          <w:szCs w:val="22"/>
        </w:rPr>
        <w:t xml:space="preserve"> by the number of common shares (or ordinary units or its equivalent, “</w:t>
      </w:r>
      <w:r w:rsidRPr="00AC70AE">
        <w:rPr>
          <w:b/>
          <w:bCs/>
          <w:color w:val="000000"/>
          <w:sz w:val="22"/>
          <w:szCs w:val="22"/>
        </w:rPr>
        <w:t>Common Shares</w:t>
      </w:r>
      <w:r w:rsidRPr="00AC70AE">
        <w:rPr>
          <w:color w:val="000000"/>
          <w:sz w:val="22"/>
          <w:szCs w:val="22"/>
        </w:rPr>
        <w:t>”) then issued and outstanding, assuming conversion and/or exercise of all stock options and other securities that are convertible into, or exercisable for, shares of the Borrower’s Common Share at such time (excluding any Common Shares or other equity issuable or issued upon conversion of the Notes issued pursuant to the Note Purchase Agreement or any subsequent note purchase agreement and any Common Shares exercisable or exercised upon conversion of the Financing Shares).</w:t>
      </w:r>
    </w:p>
    <w:p w14:paraId="09BD287E" w14:textId="77777777" w:rsidR="007C0402" w:rsidRPr="00AC70AE" w:rsidRDefault="007C0402" w:rsidP="007C0402">
      <w:pPr>
        <w:ind w:left="720"/>
        <w:rPr>
          <w:color w:val="000000"/>
          <w:sz w:val="22"/>
          <w:szCs w:val="22"/>
        </w:rPr>
      </w:pPr>
      <w:r w:rsidRPr="00AC70AE">
        <w:rPr>
          <w:color w:val="000000"/>
          <w:sz w:val="22"/>
          <w:szCs w:val="22"/>
        </w:rPr>
        <w:tab/>
      </w:r>
      <w:r w:rsidRPr="00AC70AE">
        <w:rPr>
          <w:color w:val="000000"/>
          <w:sz w:val="22"/>
          <w:szCs w:val="22"/>
        </w:rPr>
        <w:tab/>
        <w:t>(iii)</w:t>
      </w:r>
      <w:r w:rsidRPr="00AC70AE">
        <w:rPr>
          <w:color w:val="000000"/>
          <w:sz w:val="22"/>
          <w:szCs w:val="22"/>
        </w:rPr>
        <w:tab/>
      </w:r>
      <w:r w:rsidRPr="00AC70AE">
        <w:rPr>
          <w:b/>
          <w:bCs/>
          <w:color w:val="000000"/>
          <w:sz w:val="22"/>
          <w:szCs w:val="22"/>
          <w:u w:val="single"/>
        </w:rPr>
        <w:t>Financing Conversion Procedures</w:t>
      </w:r>
      <w:r w:rsidRPr="00AC70AE">
        <w:rPr>
          <w:b/>
          <w:bCs/>
          <w:color w:val="000000"/>
          <w:sz w:val="22"/>
          <w:szCs w:val="22"/>
        </w:rPr>
        <w:t>.</w:t>
      </w:r>
      <w:r w:rsidRPr="00AC70AE">
        <w:rPr>
          <w:color w:val="000000"/>
          <w:sz w:val="22"/>
          <w:szCs w:val="22"/>
        </w:rPr>
        <w:t xml:space="preserve">  The Borrower shall give notice of the Qualified Financing by mail, postage prepaid, to the holder of this Note as soon as is practicable prior to the closing of said Qualified Financing, but in any event the Borrower shall use commercially reasonable efforts to provide such notice no later than five business days prior to such closing.  Such notice shall specify the date of such closing and the price per share at which the Financing Shares shall be issued to the investors in the Qualified Financing. The conversion of the Notes into Financing Shares shall be automatic and without regard to whether or not such notice is given. </w:t>
      </w:r>
    </w:p>
    <w:p w14:paraId="38C71455" w14:textId="77777777" w:rsidR="007C0402" w:rsidRPr="00AC70AE" w:rsidRDefault="007C0402" w:rsidP="007C0402">
      <w:pPr>
        <w:ind w:firstLine="1440"/>
        <w:rPr>
          <w:color w:val="000000"/>
          <w:sz w:val="22"/>
          <w:szCs w:val="22"/>
        </w:rPr>
      </w:pPr>
      <w:r w:rsidRPr="00AC70AE">
        <w:rPr>
          <w:color w:val="000000"/>
          <w:sz w:val="22"/>
          <w:szCs w:val="22"/>
        </w:rPr>
        <w:t>(b)</w:t>
      </w:r>
      <w:r w:rsidRPr="00AC70AE">
        <w:rPr>
          <w:color w:val="000000"/>
          <w:sz w:val="22"/>
          <w:szCs w:val="22"/>
        </w:rPr>
        <w:tab/>
      </w:r>
      <w:r w:rsidRPr="00AC70AE">
        <w:rPr>
          <w:b/>
          <w:bCs/>
          <w:color w:val="000000"/>
          <w:sz w:val="22"/>
          <w:szCs w:val="22"/>
          <w:u w:val="single"/>
        </w:rPr>
        <w:t>Issuance of Financing Shares</w:t>
      </w:r>
      <w:r w:rsidRPr="00AC70AE">
        <w:rPr>
          <w:b/>
          <w:bCs/>
          <w:color w:val="000000"/>
          <w:sz w:val="22"/>
          <w:szCs w:val="22"/>
        </w:rPr>
        <w:t>.</w:t>
      </w:r>
      <w:r w:rsidRPr="00AC70AE">
        <w:rPr>
          <w:color w:val="000000"/>
          <w:sz w:val="22"/>
          <w:szCs w:val="22"/>
        </w:rPr>
        <w:t xml:space="preserve">  Upon the occurrence of the conversion specified in </w:t>
      </w:r>
      <w:r w:rsidRPr="00AC70AE">
        <w:rPr>
          <w:color w:val="000000"/>
          <w:sz w:val="22"/>
          <w:szCs w:val="22"/>
          <w:u w:val="single"/>
        </w:rPr>
        <w:t>Section 4(a)</w:t>
      </w:r>
      <w:r w:rsidRPr="00AC70AE">
        <w:rPr>
          <w:color w:val="000000"/>
          <w:sz w:val="22"/>
          <w:szCs w:val="22"/>
        </w:rPr>
        <w:t>, the holder of this Note shall surrender the Note at the office of the Borrower or of its transfer agent for the applicable number of Financing Shares.  Thereupon, there shall be issued and delivered to such holder the Financing Shares, as applicable, to which such holder is entitled pursuant to the terms hereof.  The issuance of Financing Shares may be further subject to the holder of this Note entering into one or more agreements relating to the voting and constraints on transfer of such Financing Shares or such other agreements that have been entered into by other holders of the same class or series of equity securities as the holder of this Note shall receive.  Furthermore, any certificates representing the Financing Shares of the Borrower that are issued upon conversion may have fixed on them legends restricting the transferability of the Financing Shares.</w:t>
      </w:r>
    </w:p>
    <w:p w14:paraId="4863E150" w14:textId="77777777" w:rsidR="007C0402" w:rsidRPr="00AC70AE" w:rsidRDefault="007C0402" w:rsidP="007C0402">
      <w:pPr>
        <w:ind w:firstLine="1440"/>
        <w:rPr>
          <w:color w:val="000000"/>
          <w:sz w:val="22"/>
          <w:szCs w:val="22"/>
        </w:rPr>
      </w:pPr>
      <w:r w:rsidRPr="00AC70AE">
        <w:rPr>
          <w:color w:val="000000"/>
          <w:sz w:val="22"/>
          <w:szCs w:val="22"/>
        </w:rPr>
        <w:t>(c)</w:t>
      </w:r>
      <w:r w:rsidRPr="00AC70AE">
        <w:rPr>
          <w:color w:val="000000"/>
          <w:sz w:val="22"/>
          <w:szCs w:val="22"/>
        </w:rPr>
        <w:tab/>
      </w:r>
      <w:r w:rsidRPr="00AC70AE">
        <w:rPr>
          <w:b/>
          <w:bCs/>
          <w:color w:val="000000"/>
          <w:sz w:val="22"/>
          <w:szCs w:val="22"/>
          <w:u w:val="single"/>
        </w:rPr>
        <w:t>Cash in Lieu of Fractional Shares</w:t>
      </w:r>
      <w:r w:rsidRPr="00AC70AE">
        <w:rPr>
          <w:b/>
          <w:bCs/>
          <w:color w:val="000000"/>
          <w:sz w:val="22"/>
          <w:szCs w:val="22"/>
        </w:rPr>
        <w:t>.</w:t>
      </w:r>
      <w:r w:rsidRPr="00AC70AE">
        <w:rPr>
          <w:color w:val="000000"/>
          <w:sz w:val="22"/>
          <w:szCs w:val="22"/>
        </w:rPr>
        <w:t xml:space="preserve">  No fractional Financing Shares of the Borrower, or scrip representing any such fractional shares, shall be issued upon conversion of this Note.  Instead of any fractional Financing Shares which would otherwise be issuable upon conversion of this Note, the Borrower shall pay to the holder of this Note an amount in cash equal to the fair market value of such fractional Financing Shares determined upon the price per Financing Share paid for the Financing Shares by investors in the Qualified Financing or the applicable Cap Price, as applicable.</w:t>
      </w:r>
    </w:p>
    <w:p w14:paraId="3AC78B23" w14:textId="77777777" w:rsidR="007C0402" w:rsidRPr="00AC70AE" w:rsidRDefault="007C0402" w:rsidP="007C0402">
      <w:pPr>
        <w:ind w:firstLine="720"/>
        <w:rPr>
          <w:color w:val="000000"/>
          <w:sz w:val="22"/>
          <w:szCs w:val="22"/>
        </w:rPr>
      </w:pPr>
      <w:r w:rsidRPr="00AC70AE">
        <w:rPr>
          <w:color w:val="000000"/>
          <w:sz w:val="22"/>
          <w:szCs w:val="22"/>
        </w:rPr>
        <w:tab/>
        <w:t>(d)</w:t>
      </w:r>
      <w:r w:rsidRPr="00AC70AE">
        <w:rPr>
          <w:color w:val="000000"/>
          <w:sz w:val="22"/>
          <w:szCs w:val="22"/>
        </w:rPr>
        <w:tab/>
      </w:r>
      <w:r w:rsidRPr="00AC70AE">
        <w:rPr>
          <w:b/>
          <w:bCs/>
          <w:color w:val="000000"/>
          <w:sz w:val="22"/>
          <w:szCs w:val="22"/>
          <w:u w:val="single"/>
        </w:rPr>
        <w:t>Cancellation of Note</w:t>
      </w:r>
      <w:r w:rsidRPr="00AC70AE">
        <w:rPr>
          <w:b/>
          <w:bCs/>
          <w:color w:val="000000"/>
          <w:sz w:val="22"/>
          <w:szCs w:val="22"/>
        </w:rPr>
        <w:t>.</w:t>
      </w:r>
      <w:r w:rsidRPr="00AC70AE">
        <w:rPr>
          <w:color w:val="000000"/>
          <w:sz w:val="22"/>
          <w:szCs w:val="22"/>
        </w:rPr>
        <w:t xml:space="preserve">  Upon the conversion of the entire principal amount of this Note, or the payment of the entire principal amount of this Note and all interest accrued thereon, this Note shall be cancelled.</w:t>
      </w:r>
    </w:p>
    <w:p w14:paraId="143185B9" w14:textId="77777777" w:rsidR="007C0402" w:rsidRPr="00AC70AE" w:rsidRDefault="007C0402" w:rsidP="007C0402">
      <w:pPr>
        <w:ind w:firstLine="720"/>
        <w:rPr>
          <w:color w:val="000000"/>
          <w:sz w:val="22"/>
          <w:szCs w:val="22"/>
        </w:rPr>
      </w:pPr>
      <w:r w:rsidRPr="00AC70AE">
        <w:rPr>
          <w:color w:val="000000"/>
          <w:sz w:val="22"/>
          <w:szCs w:val="22"/>
        </w:rPr>
        <w:tab/>
        <w:t>(e)</w:t>
      </w:r>
      <w:r w:rsidRPr="00AC70AE">
        <w:rPr>
          <w:color w:val="000000"/>
          <w:sz w:val="22"/>
          <w:szCs w:val="22"/>
        </w:rPr>
        <w:tab/>
      </w:r>
      <w:r w:rsidRPr="00AC70AE">
        <w:rPr>
          <w:sz w:val="22"/>
          <w:szCs w:val="22"/>
        </w:rPr>
        <w:t xml:space="preserve">THE LENDER </w:t>
      </w:r>
      <w:r w:rsidRPr="00AC70AE">
        <w:rPr>
          <w:color w:val="000000"/>
          <w:sz w:val="22"/>
          <w:szCs w:val="22"/>
        </w:rPr>
        <w:t xml:space="preserve">HAS </w:t>
      </w:r>
      <w:r w:rsidRPr="00AC70AE">
        <w:rPr>
          <w:sz w:val="22"/>
          <w:szCs w:val="22"/>
        </w:rPr>
        <w:t>HAD AN OPPORTUNITY TO OBTAIN THE ADVICE OF THE LENDER’S OWN TAX AND LEGAL ADVISORS REGARDING THE TERMS OF THIS NOTE PRIOR TO ENTERING INTO THE NOTE PURCHASE AGREEMENT AND FULLY UNDERSTANDS AND AGREES TO THE PROVISIONS HEREOF.</w:t>
      </w:r>
    </w:p>
    <w:p w14:paraId="4AE3D309" w14:textId="77777777" w:rsidR="007C0402" w:rsidRPr="00AC70AE" w:rsidRDefault="007C0402" w:rsidP="007C0402">
      <w:pPr>
        <w:keepNext/>
        <w:keepLines/>
        <w:ind w:firstLine="720"/>
        <w:rPr>
          <w:color w:val="000000"/>
          <w:sz w:val="22"/>
          <w:szCs w:val="22"/>
        </w:rPr>
      </w:pPr>
      <w:r w:rsidRPr="00AC70AE">
        <w:rPr>
          <w:color w:val="000000"/>
          <w:sz w:val="22"/>
          <w:szCs w:val="22"/>
        </w:rPr>
        <w:t>5.</w:t>
      </w:r>
      <w:r w:rsidRPr="00AC70AE">
        <w:rPr>
          <w:color w:val="000000"/>
          <w:sz w:val="22"/>
          <w:szCs w:val="22"/>
        </w:rPr>
        <w:tab/>
      </w:r>
      <w:r w:rsidRPr="00AC70AE">
        <w:rPr>
          <w:b/>
          <w:bCs/>
          <w:color w:val="000000"/>
          <w:sz w:val="22"/>
          <w:szCs w:val="22"/>
          <w:u w:val="single"/>
        </w:rPr>
        <w:t>Default</w:t>
      </w:r>
      <w:r w:rsidRPr="00AC70AE">
        <w:rPr>
          <w:b/>
          <w:bCs/>
          <w:color w:val="000000"/>
          <w:sz w:val="22"/>
          <w:szCs w:val="22"/>
        </w:rPr>
        <w:t>.</w:t>
      </w:r>
      <w:r w:rsidRPr="00AC70AE">
        <w:rPr>
          <w:color w:val="000000"/>
          <w:sz w:val="22"/>
          <w:szCs w:val="22"/>
        </w:rPr>
        <w:t xml:space="preserve">  Any of the following shall constitute an “</w:t>
      </w:r>
      <w:r w:rsidRPr="00AC70AE">
        <w:rPr>
          <w:b/>
          <w:bCs/>
          <w:color w:val="000000"/>
          <w:sz w:val="22"/>
          <w:szCs w:val="22"/>
        </w:rPr>
        <w:t>Event of Default</w:t>
      </w:r>
      <w:r w:rsidRPr="00AC70AE">
        <w:rPr>
          <w:color w:val="000000"/>
          <w:sz w:val="22"/>
          <w:szCs w:val="22"/>
        </w:rPr>
        <w:t>” under this Note:</w:t>
      </w:r>
    </w:p>
    <w:p w14:paraId="2123EF64" w14:textId="77777777" w:rsidR="007C0402" w:rsidRPr="00AC70AE" w:rsidRDefault="007C0402" w:rsidP="007C0402">
      <w:pPr>
        <w:keepNext/>
        <w:ind w:firstLine="720"/>
        <w:rPr>
          <w:color w:val="000000"/>
          <w:sz w:val="22"/>
          <w:szCs w:val="22"/>
        </w:rPr>
      </w:pPr>
      <w:r w:rsidRPr="00AC70AE">
        <w:rPr>
          <w:color w:val="000000"/>
          <w:sz w:val="22"/>
          <w:szCs w:val="22"/>
        </w:rPr>
        <w:tab/>
        <w:t>(a)</w:t>
      </w:r>
      <w:r w:rsidRPr="00AC70AE">
        <w:rPr>
          <w:color w:val="000000"/>
          <w:sz w:val="22"/>
          <w:szCs w:val="22"/>
        </w:rPr>
        <w:tab/>
        <w:t>The dissolution or termination of business of Borrower;</w:t>
      </w:r>
    </w:p>
    <w:p w14:paraId="7AA3911D" w14:textId="77777777" w:rsidR="007C0402" w:rsidRPr="00AC70AE" w:rsidRDefault="007C0402" w:rsidP="007C0402">
      <w:pPr>
        <w:ind w:firstLine="720"/>
        <w:rPr>
          <w:color w:val="000000"/>
          <w:sz w:val="22"/>
          <w:szCs w:val="22"/>
        </w:rPr>
      </w:pPr>
      <w:r w:rsidRPr="00AC70AE">
        <w:rPr>
          <w:color w:val="000000"/>
          <w:sz w:val="22"/>
          <w:szCs w:val="22"/>
        </w:rPr>
        <w:tab/>
        <w:t>(b)</w:t>
      </w:r>
      <w:r w:rsidRPr="00AC70AE">
        <w:rPr>
          <w:color w:val="000000"/>
          <w:sz w:val="22"/>
          <w:szCs w:val="22"/>
        </w:rPr>
        <w:tab/>
        <w:t>Any petition in bankruptcy being filed by or against Borrower or any proceedings in bankruptcy, insolvency or under any other laws relating to the relief of debtors, being commenced for the relief or readjustment of any indebtedness of Borrower, either through reorganization, composition, extension or otherwise, and which, in the case of any involuntary proceedings shall be acquiesced to by Borrower or shall continue for a period of 60 days undismissed, undischarged or unbonded;</w:t>
      </w:r>
    </w:p>
    <w:p w14:paraId="7002F1CE" w14:textId="77777777" w:rsidR="007C0402" w:rsidRPr="00AC70AE" w:rsidRDefault="007C0402" w:rsidP="007C0402">
      <w:pPr>
        <w:ind w:firstLine="720"/>
        <w:rPr>
          <w:color w:val="000000"/>
          <w:sz w:val="22"/>
          <w:szCs w:val="22"/>
        </w:rPr>
      </w:pPr>
      <w:r w:rsidRPr="00AC70AE">
        <w:rPr>
          <w:color w:val="000000"/>
          <w:sz w:val="22"/>
          <w:szCs w:val="22"/>
        </w:rPr>
        <w:tab/>
        <w:t>(c)</w:t>
      </w:r>
      <w:r w:rsidRPr="00AC70AE">
        <w:rPr>
          <w:color w:val="000000"/>
          <w:sz w:val="22"/>
          <w:szCs w:val="22"/>
        </w:rPr>
        <w:tab/>
        <w:t>The making by Borrower of an assignment for the benefit of its creditors;</w:t>
      </w:r>
    </w:p>
    <w:p w14:paraId="3C0357CF" w14:textId="77777777" w:rsidR="007C0402" w:rsidRPr="00AC70AE" w:rsidRDefault="007C0402" w:rsidP="007C0402">
      <w:pPr>
        <w:ind w:firstLine="720"/>
        <w:rPr>
          <w:color w:val="000000"/>
          <w:sz w:val="22"/>
          <w:szCs w:val="22"/>
        </w:rPr>
      </w:pPr>
      <w:r w:rsidRPr="00AC70AE">
        <w:rPr>
          <w:color w:val="000000"/>
          <w:sz w:val="22"/>
          <w:szCs w:val="22"/>
        </w:rPr>
        <w:tab/>
        <w:t>(d)</w:t>
      </w:r>
      <w:r w:rsidRPr="00AC70AE">
        <w:rPr>
          <w:color w:val="000000"/>
          <w:sz w:val="22"/>
          <w:szCs w:val="22"/>
        </w:rPr>
        <w:tab/>
        <w:t>The appointment of a receiver of any property of Borrower which shall not be vacated or removed within 90 days after appointment;</w:t>
      </w:r>
    </w:p>
    <w:p w14:paraId="674C704C" w14:textId="77777777" w:rsidR="007C0402" w:rsidRPr="00AC70AE" w:rsidRDefault="007C0402" w:rsidP="007C0402">
      <w:pPr>
        <w:ind w:firstLine="720"/>
        <w:rPr>
          <w:color w:val="000000"/>
          <w:sz w:val="22"/>
          <w:szCs w:val="22"/>
        </w:rPr>
      </w:pPr>
      <w:r w:rsidRPr="00AC70AE">
        <w:rPr>
          <w:color w:val="000000"/>
          <w:sz w:val="22"/>
          <w:szCs w:val="22"/>
        </w:rPr>
        <w:tab/>
        <w:t>(e)</w:t>
      </w:r>
      <w:r w:rsidRPr="00AC70AE">
        <w:rPr>
          <w:color w:val="000000"/>
          <w:sz w:val="22"/>
          <w:szCs w:val="22"/>
        </w:rPr>
        <w:tab/>
        <w:t>Any seizure, vesting of rights of or intervention by or under any authority of any government; or</w:t>
      </w:r>
    </w:p>
    <w:p w14:paraId="7A7CF41D" w14:textId="77777777" w:rsidR="007C0402" w:rsidRPr="00AC70AE" w:rsidRDefault="007C0402" w:rsidP="007C0402">
      <w:pPr>
        <w:ind w:firstLine="1440"/>
        <w:rPr>
          <w:color w:val="000000"/>
          <w:sz w:val="22"/>
          <w:szCs w:val="22"/>
        </w:rPr>
      </w:pPr>
      <w:r w:rsidRPr="00AC70AE">
        <w:rPr>
          <w:sz w:val="22"/>
          <w:szCs w:val="22"/>
        </w:rPr>
        <w:t>(f)</w:t>
      </w:r>
      <w:r w:rsidRPr="00AC70AE">
        <w:rPr>
          <w:sz w:val="22"/>
          <w:szCs w:val="22"/>
        </w:rPr>
        <w:tab/>
      </w:r>
      <w:r w:rsidRPr="00AC70AE">
        <w:rPr>
          <w:color w:val="000000"/>
          <w:sz w:val="22"/>
          <w:szCs w:val="22"/>
        </w:rPr>
        <w:t>T</w:t>
      </w:r>
      <w:r w:rsidRPr="00AC70AE">
        <w:rPr>
          <w:sz w:val="22"/>
          <w:szCs w:val="22"/>
        </w:rPr>
        <w:t xml:space="preserve">he </w:t>
      </w:r>
      <w:r w:rsidRPr="00AC70AE">
        <w:rPr>
          <w:color w:val="000000"/>
          <w:sz w:val="22"/>
          <w:szCs w:val="22"/>
        </w:rPr>
        <w:t>closing</w:t>
      </w:r>
      <w:r w:rsidRPr="00AC70AE">
        <w:rPr>
          <w:sz w:val="22"/>
          <w:szCs w:val="22"/>
        </w:rPr>
        <w:t xml:space="preserve"> or consummation of the sale of the Borrower, whether by merger, sale, or </w:t>
      </w:r>
      <w:r w:rsidRPr="00AC70AE">
        <w:rPr>
          <w:color w:val="000000"/>
          <w:sz w:val="22"/>
          <w:szCs w:val="22"/>
        </w:rPr>
        <w:t>transfer of more than fifty percent (50%) of its capital shares (but excluding a Migratory Transaction), or sale of all or substantially all of its assets (a “</w:t>
      </w:r>
      <w:r w:rsidRPr="00AC70AE">
        <w:rPr>
          <w:b/>
          <w:bCs/>
          <w:color w:val="000000"/>
          <w:sz w:val="22"/>
          <w:szCs w:val="22"/>
        </w:rPr>
        <w:t>Sale Event</w:t>
      </w:r>
      <w:r w:rsidRPr="00AC70AE">
        <w:rPr>
          <w:color w:val="000000"/>
          <w:sz w:val="22"/>
          <w:szCs w:val="22"/>
        </w:rPr>
        <w:t>”).</w:t>
      </w:r>
    </w:p>
    <w:p w14:paraId="26ADFAF1" w14:textId="21B49157" w:rsidR="007C0402" w:rsidRPr="00AC70AE" w:rsidRDefault="007C0402" w:rsidP="007C0402">
      <w:pPr>
        <w:ind w:firstLine="720"/>
        <w:rPr>
          <w:color w:val="000000"/>
          <w:sz w:val="22"/>
          <w:szCs w:val="22"/>
        </w:rPr>
      </w:pPr>
      <w:r w:rsidRPr="00AC70AE">
        <w:rPr>
          <w:color w:val="000000"/>
          <w:sz w:val="22"/>
          <w:szCs w:val="22"/>
        </w:rPr>
        <w:tab/>
        <w:t xml:space="preserve">At any time after the occurrence of an Event of Default, the entire outstanding amount of principal and interest of this Note shall (but in the case of clauses (a) – (e) subject to the approval of the holders of a majority of the principal amount outstanding of all the Notes), </w:t>
      </w:r>
      <w:r w:rsidRPr="00AC70AE">
        <w:rPr>
          <w:color w:val="000000"/>
          <w:sz w:val="22"/>
          <w:szCs w:val="22"/>
          <w:highlight w:val="yellow"/>
        </w:rPr>
        <w:t>[including all reasonable legal fees and costs of collection incurred by the Lender, to the extent permitted by law,]</w:t>
      </w:r>
      <w:r w:rsidRPr="00AC70AE">
        <w:rPr>
          <w:color w:val="000000"/>
          <w:sz w:val="22"/>
          <w:szCs w:val="22"/>
        </w:rPr>
        <w:t xml:space="preserve"> become immediately due and payable, without presentment, demand, protest or other notice of any kind, all of which are hereby expressly waived.  Notwithstanding the foregoing, immediately prior to the closing of a Sale Event, the holder of this Note may elect to convert the then outstanding amount into such number of Common Shares equal to the quotient obtained by dividing the then outstanding amount by the Cap Price.  The Borrower shall give notice of the Sale Event by mail, postage prepaid, to the holder of this Note as soon as is practicable prior to the closing of said Sale Event, but in any event the Borrower shall use commercially reasonable efforts to provide such notice no later than five business days prior to such closing.</w:t>
      </w:r>
    </w:p>
    <w:p w14:paraId="7B80B382" w14:textId="19A85C1A" w:rsidR="007C0402" w:rsidRPr="00AC70AE" w:rsidRDefault="007C0402" w:rsidP="007C0402">
      <w:pPr>
        <w:ind w:firstLine="720"/>
        <w:rPr>
          <w:color w:val="000000"/>
          <w:sz w:val="22"/>
          <w:szCs w:val="22"/>
        </w:rPr>
      </w:pPr>
      <w:r w:rsidRPr="00AC70AE">
        <w:rPr>
          <w:color w:val="000000"/>
          <w:sz w:val="22"/>
          <w:szCs w:val="22"/>
        </w:rPr>
        <w:t>6.</w:t>
      </w:r>
      <w:r w:rsidRPr="00AC70AE">
        <w:rPr>
          <w:color w:val="000000"/>
          <w:sz w:val="22"/>
          <w:szCs w:val="22"/>
        </w:rPr>
        <w:tab/>
      </w:r>
      <w:r w:rsidRPr="00AC70AE">
        <w:rPr>
          <w:color w:val="000000"/>
          <w:sz w:val="22"/>
          <w:szCs w:val="22"/>
          <w:u w:val="single"/>
        </w:rPr>
        <w:t>Governing Law</w:t>
      </w:r>
      <w:r w:rsidRPr="00AC70AE">
        <w:rPr>
          <w:color w:val="000000"/>
          <w:sz w:val="22"/>
          <w:szCs w:val="22"/>
        </w:rPr>
        <w:t xml:space="preserve">.  This Note shall be governed by and construed in accordance with the internal laws of </w:t>
      </w:r>
      <w:r w:rsidRPr="009646B3">
        <w:rPr>
          <w:color w:val="000000"/>
          <w:sz w:val="22"/>
          <w:szCs w:val="22"/>
        </w:rPr>
        <w:t xml:space="preserve">the State of </w:t>
      </w:r>
      <w:r w:rsidR="00AC70AE" w:rsidRPr="00AC70AE">
        <w:rPr>
          <w:color w:val="000000"/>
          <w:sz w:val="22"/>
          <w:szCs w:val="22"/>
          <w:highlight w:val="yellow"/>
        </w:rPr>
        <w:t>[</w:t>
      </w:r>
      <w:r w:rsidR="00346C5C">
        <w:rPr>
          <w:color w:val="000000"/>
          <w:sz w:val="22"/>
          <w:szCs w:val="22"/>
          <w:highlight w:val="yellow"/>
        </w:rPr>
        <w:t>Governing Law Jurisdiction</w:t>
      </w:r>
      <w:r w:rsidR="00AC70AE" w:rsidRPr="00AC70AE">
        <w:rPr>
          <w:color w:val="000000"/>
          <w:sz w:val="22"/>
          <w:szCs w:val="22"/>
        </w:rPr>
        <w:t>]</w:t>
      </w:r>
      <w:r w:rsidRPr="00AC70AE">
        <w:rPr>
          <w:color w:val="000000"/>
          <w:sz w:val="22"/>
          <w:szCs w:val="22"/>
        </w:rPr>
        <w:t xml:space="preserve"> without giving effect to the principles of conflicts of laws thereof.</w:t>
      </w:r>
    </w:p>
    <w:p w14:paraId="137378C4" w14:textId="77777777" w:rsidR="007C0402" w:rsidRPr="00AC70AE" w:rsidRDefault="007C0402" w:rsidP="007C0402">
      <w:pPr>
        <w:ind w:firstLine="720"/>
        <w:rPr>
          <w:color w:val="000000"/>
          <w:sz w:val="22"/>
          <w:szCs w:val="22"/>
        </w:rPr>
      </w:pPr>
    </w:p>
    <w:p w14:paraId="4FECB877" w14:textId="4F184784" w:rsidR="007C0402" w:rsidRPr="00AC70AE" w:rsidRDefault="007C0402" w:rsidP="00AC70AE">
      <w:pPr>
        <w:jc w:val="center"/>
        <w:rPr>
          <w:color w:val="000000"/>
          <w:sz w:val="22"/>
          <w:szCs w:val="22"/>
        </w:rPr>
      </w:pPr>
      <w:r w:rsidRPr="00AC70AE">
        <w:rPr>
          <w:color w:val="000000"/>
          <w:sz w:val="22"/>
          <w:szCs w:val="22"/>
        </w:rPr>
        <w:t>[SIGNATURE PAGE TO FOLLOW]</w:t>
      </w:r>
    </w:p>
    <w:p w14:paraId="476D8F16" w14:textId="77777777" w:rsidR="007C0402" w:rsidRPr="00AC70AE" w:rsidRDefault="007C0402" w:rsidP="007C0402">
      <w:pPr>
        <w:ind w:firstLine="720"/>
        <w:rPr>
          <w:color w:val="000000"/>
          <w:sz w:val="22"/>
          <w:szCs w:val="22"/>
        </w:rPr>
      </w:pPr>
    </w:p>
    <w:p w14:paraId="5117215F" w14:textId="77777777" w:rsidR="007C0402" w:rsidRPr="00AC70AE" w:rsidRDefault="007C0402" w:rsidP="007C0402">
      <w:pPr>
        <w:ind w:firstLine="720"/>
        <w:rPr>
          <w:color w:val="000000"/>
          <w:sz w:val="22"/>
          <w:szCs w:val="22"/>
        </w:rPr>
        <w:sectPr w:rsidR="007C0402" w:rsidRPr="00AC70AE" w:rsidSect="007C04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pPr>
    </w:p>
    <w:p w14:paraId="599274A5" w14:textId="77777777" w:rsidR="007C0402" w:rsidRPr="00AC70AE" w:rsidRDefault="007C0402" w:rsidP="007C0402">
      <w:pPr>
        <w:ind w:firstLine="720"/>
        <w:rPr>
          <w:color w:val="000000"/>
          <w:sz w:val="22"/>
          <w:szCs w:val="22"/>
        </w:rPr>
      </w:pPr>
      <w:r w:rsidRPr="00AC70AE">
        <w:rPr>
          <w:color w:val="000000"/>
          <w:sz w:val="22"/>
          <w:szCs w:val="22"/>
        </w:rPr>
        <w:t xml:space="preserve">IN WITNESS WHEREOF, the undersigned has caused this instrument to be executed by its duly authorized officer as of the date first above written. </w:t>
      </w:r>
    </w:p>
    <w:p w14:paraId="6291D6F3" w14:textId="77777777" w:rsidR="007C0402" w:rsidRPr="00AC70AE" w:rsidRDefault="007C0402" w:rsidP="007C0402">
      <w:pPr>
        <w:ind w:firstLine="720"/>
        <w:rPr>
          <w:color w:val="000000"/>
          <w:sz w:val="22"/>
          <w:szCs w:val="22"/>
        </w:rPr>
      </w:pPr>
    </w:p>
    <w:p w14:paraId="0FF00F88" w14:textId="57220C85" w:rsidR="007C0402" w:rsidRPr="00AC70AE" w:rsidRDefault="007C0402" w:rsidP="007C0402">
      <w:pPr>
        <w:tabs>
          <w:tab w:val="left" w:pos="4320"/>
        </w:tabs>
        <w:rPr>
          <w:color w:val="000000"/>
          <w:sz w:val="22"/>
          <w:szCs w:val="22"/>
        </w:rPr>
      </w:pPr>
      <w:r w:rsidRPr="00AC70AE">
        <w:rPr>
          <w:color w:val="000000"/>
          <w:sz w:val="22"/>
          <w:szCs w:val="22"/>
        </w:rPr>
        <w:tab/>
      </w:r>
      <w:r w:rsidR="00AC70AE" w:rsidRPr="00AC70AE">
        <w:rPr>
          <w:color w:val="000000"/>
          <w:sz w:val="22"/>
          <w:szCs w:val="22"/>
          <w:highlight w:val="yellow"/>
        </w:rPr>
        <w:t>[COMPANY]</w:t>
      </w:r>
    </w:p>
    <w:p w14:paraId="0790936D" w14:textId="77777777" w:rsidR="007C0402" w:rsidRPr="00AC70AE" w:rsidRDefault="007C0402" w:rsidP="007C0402">
      <w:pPr>
        <w:tabs>
          <w:tab w:val="left" w:pos="4320"/>
        </w:tabs>
        <w:rPr>
          <w:color w:val="000000"/>
          <w:sz w:val="22"/>
          <w:szCs w:val="22"/>
        </w:rPr>
      </w:pPr>
    </w:p>
    <w:p w14:paraId="507466DB" w14:textId="77777777" w:rsidR="007C0402" w:rsidRPr="00AC70AE" w:rsidRDefault="007C0402" w:rsidP="007C0402">
      <w:pPr>
        <w:tabs>
          <w:tab w:val="left" w:pos="4320"/>
        </w:tabs>
        <w:rPr>
          <w:color w:val="000000"/>
          <w:sz w:val="22"/>
          <w:szCs w:val="22"/>
        </w:rPr>
      </w:pPr>
    </w:p>
    <w:p w14:paraId="1C9ACA7C" w14:textId="77777777" w:rsidR="007C0402" w:rsidRPr="00AC70AE" w:rsidRDefault="007C0402" w:rsidP="007C0402">
      <w:pPr>
        <w:tabs>
          <w:tab w:val="left" w:pos="4320"/>
          <w:tab w:val="left" w:pos="9900"/>
        </w:tabs>
        <w:spacing w:after="0"/>
        <w:rPr>
          <w:color w:val="000000"/>
          <w:sz w:val="22"/>
          <w:szCs w:val="22"/>
          <w:u w:val="single"/>
        </w:rPr>
      </w:pPr>
      <w:r w:rsidRPr="00AC70AE">
        <w:rPr>
          <w:color w:val="000000"/>
          <w:sz w:val="22"/>
          <w:szCs w:val="22"/>
        </w:rPr>
        <w:tab/>
        <w:t xml:space="preserve">By: </w:t>
      </w:r>
      <w:r w:rsidRPr="00AC70AE">
        <w:rPr>
          <w:color w:val="000000"/>
          <w:sz w:val="22"/>
          <w:szCs w:val="22"/>
          <w:u w:val="single"/>
        </w:rPr>
        <w:t>______________________________</w:t>
      </w:r>
    </w:p>
    <w:p w14:paraId="7956B23D" w14:textId="77777777" w:rsidR="007C0402" w:rsidRPr="00AC70AE" w:rsidRDefault="007C0402" w:rsidP="007C0402">
      <w:pPr>
        <w:tabs>
          <w:tab w:val="left" w:pos="4320"/>
          <w:tab w:val="left" w:pos="9900"/>
        </w:tabs>
        <w:spacing w:after="0"/>
        <w:ind w:firstLine="4680"/>
        <w:rPr>
          <w:sz w:val="22"/>
          <w:szCs w:val="22"/>
        </w:rPr>
      </w:pPr>
      <w:r w:rsidRPr="00AC70AE">
        <w:rPr>
          <w:sz w:val="22"/>
          <w:szCs w:val="22"/>
        </w:rPr>
        <w:t>Name:</w:t>
      </w:r>
    </w:p>
    <w:p w14:paraId="0E00BB09" w14:textId="77777777" w:rsidR="007C0402" w:rsidRPr="00AC70AE" w:rsidRDefault="007C0402" w:rsidP="007C0402">
      <w:pPr>
        <w:tabs>
          <w:tab w:val="left" w:pos="4320"/>
          <w:tab w:val="left" w:pos="9900"/>
        </w:tabs>
        <w:spacing w:after="0"/>
        <w:ind w:firstLine="4680"/>
        <w:rPr>
          <w:sz w:val="22"/>
          <w:szCs w:val="22"/>
        </w:rPr>
      </w:pPr>
      <w:r w:rsidRPr="00AC70AE">
        <w:rPr>
          <w:sz w:val="22"/>
          <w:szCs w:val="22"/>
        </w:rPr>
        <w:t>Title:</w:t>
      </w:r>
    </w:p>
    <w:p w14:paraId="4D13F8E6" w14:textId="77777777" w:rsidR="007C0402" w:rsidRPr="00AC70AE" w:rsidRDefault="007C0402" w:rsidP="007C0402">
      <w:pPr>
        <w:rPr>
          <w:sz w:val="22"/>
          <w:szCs w:val="22"/>
        </w:rPr>
      </w:pPr>
    </w:p>
    <w:p w14:paraId="2495CA8F" w14:textId="77777777" w:rsidR="00E8749B" w:rsidRPr="00AC70AE" w:rsidRDefault="00E8749B" w:rsidP="008116F2">
      <w:pPr>
        <w:rPr>
          <w:sz w:val="22"/>
          <w:szCs w:val="22"/>
        </w:rPr>
      </w:pPr>
    </w:p>
    <w:p w14:paraId="626100B7" w14:textId="77777777" w:rsidR="00AC70AE" w:rsidRPr="00AC70AE" w:rsidRDefault="00AC70AE" w:rsidP="00AC70AE">
      <w:pPr>
        <w:rPr>
          <w:sz w:val="22"/>
          <w:szCs w:val="22"/>
        </w:rPr>
      </w:pPr>
    </w:p>
    <w:p w14:paraId="53AB4B62" w14:textId="77777777" w:rsidR="00AC70AE" w:rsidRPr="00AC70AE" w:rsidRDefault="00AC70AE" w:rsidP="00AC70AE">
      <w:pPr>
        <w:rPr>
          <w:sz w:val="22"/>
          <w:szCs w:val="22"/>
        </w:rPr>
      </w:pPr>
    </w:p>
    <w:p w14:paraId="29C40C88" w14:textId="77777777" w:rsidR="00AC70AE" w:rsidRPr="00AC70AE" w:rsidRDefault="00AC70AE" w:rsidP="00AC70AE">
      <w:pPr>
        <w:rPr>
          <w:sz w:val="22"/>
          <w:szCs w:val="22"/>
        </w:rPr>
      </w:pPr>
    </w:p>
    <w:p w14:paraId="5E3BBA02" w14:textId="77777777" w:rsidR="00AC70AE" w:rsidRPr="00AC70AE" w:rsidRDefault="00AC70AE" w:rsidP="00AC70AE">
      <w:pPr>
        <w:rPr>
          <w:sz w:val="22"/>
          <w:szCs w:val="22"/>
        </w:rPr>
      </w:pPr>
    </w:p>
    <w:p w14:paraId="41567B39" w14:textId="77777777" w:rsidR="00AC70AE" w:rsidRPr="00AC70AE" w:rsidRDefault="00AC70AE" w:rsidP="00AC70AE">
      <w:pPr>
        <w:rPr>
          <w:sz w:val="22"/>
          <w:szCs w:val="22"/>
        </w:rPr>
      </w:pPr>
    </w:p>
    <w:p w14:paraId="0877BEEA" w14:textId="77777777" w:rsidR="00AC70AE" w:rsidRPr="00AC70AE" w:rsidRDefault="00AC70AE" w:rsidP="00AC70AE">
      <w:pPr>
        <w:rPr>
          <w:sz w:val="22"/>
          <w:szCs w:val="22"/>
        </w:rPr>
      </w:pPr>
    </w:p>
    <w:p w14:paraId="64656B7D" w14:textId="77777777" w:rsidR="00AC70AE" w:rsidRPr="00AC70AE" w:rsidRDefault="00AC70AE" w:rsidP="00AC70AE">
      <w:pPr>
        <w:rPr>
          <w:sz w:val="22"/>
          <w:szCs w:val="22"/>
        </w:rPr>
      </w:pPr>
    </w:p>
    <w:p w14:paraId="3263DDD9" w14:textId="77777777" w:rsidR="00AC70AE" w:rsidRPr="00AC70AE" w:rsidRDefault="00AC70AE" w:rsidP="00AC70AE">
      <w:pPr>
        <w:rPr>
          <w:sz w:val="22"/>
          <w:szCs w:val="22"/>
        </w:rPr>
      </w:pPr>
    </w:p>
    <w:p w14:paraId="63808AA8" w14:textId="77777777" w:rsidR="00AC70AE" w:rsidRPr="00AC70AE" w:rsidRDefault="00AC70AE" w:rsidP="00AC70AE">
      <w:pPr>
        <w:rPr>
          <w:sz w:val="22"/>
          <w:szCs w:val="22"/>
        </w:rPr>
      </w:pPr>
    </w:p>
    <w:p w14:paraId="19F2B634" w14:textId="77777777" w:rsidR="00AC70AE" w:rsidRPr="00AC70AE" w:rsidRDefault="00AC70AE" w:rsidP="00AC70AE">
      <w:pPr>
        <w:rPr>
          <w:sz w:val="22"/>
          <w:szCs w:val="22"/>
        </w:rPr>
      </w:pPr>
    </w:p>
    <w:p w14:paraId="55F056AA" w14:textId="77777777" w:rsidR="00AC70AE" w:rsidRPr="00AC70AE" w:rsidRDefault="00AC70AE" w:rsidP="00AC70AE">
      <w:pPr>
        <w:rPr>
          <w:sz w:val="22"/>
          <w:szCs w:val="22"/>
        </w:rPr>
      </w:pPr>
    </w:p>
    <w:p w14:paraId="3D98D4FA" w14:textId="77777777" w:rsidR="00AC70AE" w:rsidRPr="00AC70AE" w:rsidRDefault="00AC70AE" w:rsidP="00AC70AE">
      <w:pPr>
        <w:rPr>
          <w:sz w:val="22"/>
          <w:szCs w:val="22"/>
        </w:rPr>
      </w:pPr>
    </w:p>
    <w:p w14:paraId="4FD00E79" w14:textId="77777777" w:rsidR="00AC70AE" w:rsidRPr="00AC70AE" w:rsidRDefault="00AC70AE" w:rsidP="00AC70AE">
      <w:pPr>
        <w:rPr>
          <w:sz w:val="22"/>
          <w:szCs w:val="22"/>
        </w:rPr>
      </w:pPr>
    </w:p>
    <w:p w14:paraId="454891D1" w14:textId="77777777" w:rsidR="00AC70AE" w:rsidRPr="00AC70AE" w:rsidRDefault="00AC70AE" w:rsidP="00AC70AE">
      <w:pPr>
        <w:rPr>
          <w:sz w:val="22"/>
          <w:szCs w:val="22"/>
        </w:rPr>
      </w:pPr>
    </w:p>
    <w:p w14:paraId="2FC432B4" w14:textId="14DA0314" w:rsidR="00AC70AE" w:rsidRPr="00AC70AE" w:rsidRDefault="00AC70AE" w:rsidP="00AC70AE">
      <w:pPr>
        <w:tabs>
          <w:tab w:val="left" w:pos="5145"/>
        </w:tabs>
        <w:rPr>
          <w:sz w:val="22"/>
          <w:szCs w:val="22"/>
        </w:rPr>
      </w:pPr>
      <w:r w:rsidRPr="00AC70AE">
        <w:rPr>
          <w:sz w:val="22"/>
          <w:szCs w:val="22"/>
        </w:rPr>
        <w:tab/>
      </w:r>
    </w:p>
    <w:sectPr w:rsidR="00AC70AE" w:rsidRPr="00AC70AE" w:rsidSect="001566B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0AC9" w14:textId="77777777" w:rsidR="00D80FAB" w:rsidRDefault="00D80FAB" w:rsidP="00D54B2B">
      <w:pPr>
        <w:spacing w:after="0"/>
      </w:pPr>
      <w:r>
        <w:separator/>
      </w:r>
    </w:p>
  </w:endnote>
  <w:endnote w:type="continuationSeparator" w:id="0">
    <w:p w14:paraId="5F4C12AB" w14:textId="77777777" w:rsidR="00D80FAB" w:rsidRDefault="00D80FAB" w:rsidP="00D54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9FF" w14:textId="77777777" w:rsidR="007C0402" w:rsidRDefault="007C0402" w:rsidP="00417EDD">
    <w:pPr>
      <w:framePr w:wrap="around" w:vAnchor="text" w:hAnchor="margin" w:xAlign="right" w:y="1"/>
    </w:pPr>
    <w:r>
      <w:fldChar w:fldCharType="begin"/>
    </w:r>
    <w:r>
      <w:instrText xml:space="preserve">PAGE  </w:instrText>
    </w:r>
    <w:r>
      <w:fldChar w:fldCharType="separate"/>
    </w:r>
    <w:r>
      <w:rPr>
        <w:noProof/>
      </w:rPr>
      <w:t>1</w:t>
    </w:r>
    <w:r>
      <w:fldChar w:fldCharType="end"/>
    </w:r>
  </w:p>
  <w:bookmarkStart w:id="0" w:name="_iDocIDFieldfd303c47-5d2e-49e9-859a-4ad8"/>
  <w:p w14:paraId="4CA2233A" w14:textId="77777777" w:rsidR="007C0402" w:rsidRDefault="007C0402">
    <w:pPr>
      <w:pStyle w:val="DocID"/>
    </w:pPr>
    <w:r>
      <w:fldChar w:fldCharType="begin"/>
    </w:r>
    <w:r>
      <w:instrText xml:space="preserve">  DOCPROPERTY "CUS_DocIDChunk0" </w:instrText>
    </w:r>
    <w:r>
      <w:fldChar w:fldCharType="separate"/>
    </w:r>
    <w:r>
      <w:t>4829-8731-6752.3</w:t>
    </w:r>
    <w:r>
      <w:fldChar w:fldCharType="end"/>
    </w:r>
    <w:bookmarkEnd w:id="0"/>
  </w:p>
  <w:p w14:paraId="663E5533" w14:textId="61C32EE4" w:rsidR="00322D38" w:rsidRPr="00322D38" w:rsidRDefault="00196799" w:rsidP="00322D38">
    <w:pPr>
      <w:pStyle w:val="DocID0"/>
    </w:pPr>
    <w:fldSimple w:instr="DOCPROPERTY DOCXDOCID DMS=NetDocuments Format=&lt;&lt;ID&gt;&gt;.&lt;&lt;VER&gt;&gt; \* MERGEFORMAT ">
      <w:r>
        <w:t>4896-2886-6441.1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E0E7" w14:textId="77777777" w:rsidR="007C0402" w:rsidRDefault="007C0402" w:rsidP="00417EDD">
    <w:pPr>
      <w:pStyle w:val="Footer"/>
      <w:jc w:val="center"/>
    </w:pPr>
    <w:r>
      <w:fldChar w:fldCharType="begin"/>
    </w:r>
    <w:r>
      <w:instrText xml:space="preserve"> PAGE  \* MERGEFORMAT </w:instrText>
    </w:r>
    <w:r>
      <w:fldChar w:fldCharType="separate"/>
    </w:r>
    <w:r>
      <w:rPr>
        <w:noProof/>
      </w:rPr>
      <w:t>7</w:t>
    </w:r>
    <w:r>
      <w:fldChar w:fldCharType="end"/>
    </w:r>
  </w:p>
  <w:p w14:paraId="61318DAA" w14:textId="20DB2261" w:rsidR="00322D38" w:rsidRDefault="00196799" w:rsidP="00322D38">
    <w:pPr>
      <w:pStyle w:val="DocID0"/>
    </w:pPr>
    <w:fldSimple w:instr=" DOCPROPERTY DOCXDOCID DMS=NetDocuments Format=&lt;&lt;ID&gt;&gt;.&lt;&lt;VER&gt;&gt; \* MERGEFORMAT ">
      <w:r>
        <w:t>4896-2886-6441.1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16CB" w14:textId="6F83C63E" w:rsidR="007C0402" w:rsidRPr="00322D38" w:rsidRDefault="00196799" w:rsidP="00322D38">
    <w:pPr>
      <w:pStyle w:val="DocID0"/>
    </w:pPr>
    <w:fldSimple w:instr="DOCPROPERTY DOCXDOCID DMS=NetDocuments Format=&lt;&lt;ID&gt;&gt;.&lt;&lt;VER&gt;&gt; \* MERGEFORMAT ">
      <w:r>
        <w:t>4896-2886-6441.1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D83F" w14:textId="4DF5F43D" w:rsidR="00AC70AE" w:rsidRDefault="00AC70AE" w:rsidP="00AC70AE">
    <w:pPr>
      <w:ind w:firstLine="720"/>
      <w:jc w:val="center"/>
      <w:rPr>
        <w:i/>
        <w:iCs/>
        <w:color w:val="000000"/>
        <w:sz w:val="22"/>
        <w:szCs w:val="22"/>
      </w:rPr>
    </w:pPr>
    <w:r>
      <w:rPr>
        <w:i/>
        <w:iCs/>
        <w:color w:val="000000"/>
        <w:sz w:val="22"/>
        <w:szCs w:val="22"/>
      </w:rPr>
      <w:t>[Signature Page to Convertible Promissory Note]</w:t>
    </w:r>
  </w:p>
  <w:p w14:paraId="139DD2C3" w14:textId="77777777" w:rsidR="00AC70AE" w:rsidRDefault="00AC70AE" w:rsidP="00417EDD">
    <w:pPr>
      <w:pStyle w:val="Footer"/>
      <w:jc w:val="center"/>
    </w:pPr>
    <w:r>
      <w:fldChar w:fldCharType="begin"/>
    </w:r>
    <w:r>
      <w:instrText xml:space="preserve"> PAGE  \* MERGEFORMAT </w:instrText>
    </w:r>
    <w:r>
      <w:fldChar w:fldCharType="separate"/>
    </w:r>
    <w:r>
      <w:rPr>
        <w:noProof/>
      </w:rPr>
      <w:t>7</w:t>
    </w:r>
    <w:r>
      <w:fldChar w:fldCharType="end"/>
    </w:r>
  </w:p>
  <w:p w14:paraId="6251F628" w14:textId="780D76EE" w:rsidR="00322D38" w:rsidRDefault="00196799" w:rsidP="00322D38">
    <w:pPr>
      <w:pStyle w:val="DocID0"/>
    </w:pPr>
    <w:fldSimple w:instr=" DOCPROPERTY DOCXDOCID DMS=NetDocuments Format=&lt;&lt;ID&gt;&gt;.&lt;&lt;VER&gt;&gt; \* MERGEFORMAT ">
      <w:r>
        <w:t>4896-2886-6441.1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9B7D" w14:textId="77777777" w:rsidR="00D80FAB" w:rsidRDefault="00D80FAB" w:rsidP="00D54B2B">
      <w:pPr>
        <w:spacing w:after="0"/>
      </w:pPr>
      <w:r>
        <w:separator/>
      </w:r>
    </w:p>
  </w:footnote>
  <w:footnote w:type="continuationSeparator" w:id="0">
    <w:p w14:paraId="27491696" w14:textId="77777777" w:rsidR="00D80FAB" w:rsidRDefault="00D80FAB" w:rsidP="00D54B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80FE" w14:textId="77777777" w:rsidR="007C0402" w:rsidRDefault="007C0402">
    <w:pPr>
      <w:framePr w:wrap="around" w:vAnchor="text" w:hAnchor="margin" w:xAlign="right" w:y="1"/>
    </w:pPr>
    <w:r>
      <w:fldChar w:fldCharType="begin"/>
    </w:r>
    <w:r>
      <w:instrText xml:space="preserve">PAGE  </w:instrText>
    </w:r>
    <w:r>
      <w:fldChar w:fldCharType="separate"/>
    </w:r>
    <w:r>
      <w:rPr>
        <w:noProof/>
      </w:rPr>
      <w:t>1</w:t>
    </w:r>
    <w:r>
      <w:fldChar w:fldCharType="end"/>
    </w:r>
  </w:p>
  <w:p w14:paraId="695776A0" w14:textId="77777777" w:rsidR="007C0402" w:rsidRDefault="007C0402">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5B3F" w14:textId="77777777" w:rsidR="00196799" w:rsidRDefault="00196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48F6" w14:textId="7A543E24" w:rsidR="007C0402" w:rsidRPr="00C368E9" w:rsidRDefault="00C368E9">
    <w:pPr>
      <w:pStyle w:val="Header"/>
      <w:rPr>
        <w:b/>
        <w:bCs/>
      </w:rPr>
    </w:pPr>
    <w:r>
      <w:rPr>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5E313F"/>
    <w:multiLevelType w:val="hybridMultilevel"/>
    <w:tmpl w:val="B38456DC"/>
    <w:lvl w:ilvl="0" w:tplc="324C0574">
      <w:numFmt w:val="bullet"/>
      <w:lvlText w:val="-"/>
      <w:lvlJc w:val="left"/>
      <w:pPr>
        <w:ind w:left="6480" w:hanging="360"/>
      </w:pPr>
      <w:rPr>
        <w:rFonts w:ascii="Times New Roman" w:eastAsia="Calibri" w:hAnsi="Times New Roman" w:cs="Times New Roman"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1"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3"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num w:numId="1" w16cid:durableId="596910253">
    <w:abstractNumId w:val="13"/>
  </w:num>
  <w:num w:numId="2" w16cid:durableId="1614244416">
    <w:abstractNumId w:val="12"/>
  </w:num>
  <w:num w:numId="3" w16cid:durableId="1510829752">
    <w:abstractNumId w:val="9"/>
  </w:num>
  <w:num w:numId="4" w16cid:durableId="590623366">
    <w:abstractNumId w:val="7"/>
  </w:num>
  <w:num w:numId="5" w16cid:durableId="592591382">
    <w:abstractNumId w:val="6"/>
  </w:num>
  <w:num w:numId="6" w16cid:durableId="676271207">
    <w:abstractNumId w:val="5"/>
  </w:num>
  <w:num w:numId="7" w16cid:durableId="2035961060">
    <w:abstractNumId w:val="4"/>
  </w:num>
  <w:num w:numId="8" w16cid:durableId="680664760">
    <w:abstractNumId w:val="8"/>
  </w:num>
  <w:num w:numId="9" w16cid:durableId="1467549884">
    <w:abstractNumId w:val="3"/>
  </w:num>
  <w:num w:numId="10" w16cid:durableId="43599083">
    <w:abstractNumId w:val="2"/>
  </w:num>
  <w:num w:numId="11" w16cid:durableId="1212887996">
    <w:abstractNumId w:val="1"/>
  </w:num>
  <w:num w:numId="12" w16cid:durableId="806893323">
    <w:abstractNumId w:val="0"/>
  </w:num>
  <w:num w:numId="13" w16cid:durableId="339548386">
    <w:abstractNumId w:val="11"/>
  </w:num>
  <w:num w:numId="14" w16cid:durableId="1693799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02"/>
    <w:rsid w:val="0003171A"/>
    <w:rsid w:val="0005044B"/>
    <w:rsid w:val="0007249B"/>
    <w:rsid w:val="0010300B"/>
    <w:rsid w:val="00125ED5"/>
    <w:rsid w:val="001566BA"/>
    <w:rsid w:val="00196799"/>
    <w:rsid w:val="001A015C"/>
    <w:rsid w:val="001A74A5"/>
    <w:rsid w:val="001B0C81"/>
    <w:rsid w:val="001E0293"/>
    <w:rsid w:val="002551DF"/>
    <w:rsid w:val="002775BA"/>
    <w:rsid w:val="002B09B7"/>
    <w:rsid w:val="002E209A"/>
    <w:rsid w:val="002F58F1"/>
    <w:rsid w:val="00300A0F"/>
    <w:rsid w:val="00321969"/>
    <w:rsid w:val="00322D38"/>
    <w:rsid w:val="00346903"/>
    <w:rsid w:val="00346C5C"/>
    <w:rsid w:val="003F0EA3"/>
    <w:rsid w:val="00456EC5"/>
    <w:rsid w:val="0046577B"/>
    <w:rsid w:val="004D3810"/>
    <w:rsid w:val="004E5724"/>
    <w:rsid w:val="004F738B"/>
    <w:rsid w:val="005079FB"/>
    <w:rsid w:val="005510B4"/>
    <w:rsid w:val="005A4E19"/>
    <w:rsid w:val="005D664A"/>
    <w:rsid w:val="005E5E76"/>
    <w:rsid w:val="00625DB6"/>
    <w:rsid w:val="006470E7"/>
    <w:rsid w:val="006677DD"/>
    <w:rsid w:val="006C7C71"/>
    <w:rsid w:val="007112F5"/>
    <w:rsid w:val="00776BA0"/>
    <w:rsid w:val="007A6657"/>
    <w:rsid w:val="007C0402"/>
    <w:rsid w:val="007F5A4D"/>
    <w:rsid w:val="008116F2"/>
    <w:rsid w:val="00865CE6"/>
    <w:rsid w:val="008A44DE"/>
    <w:rsid w:val="008D2617"/>
    <w:rsid w:val="00906D60"/>
    <w:rsid w:val="009646B3"/>
    <w:rsid w:val="00984124"/>
    <w:rsid w:val="009B243E"/>
    <w:rsid w:val="009E2916"/>
    <w:rsid w:val="00A37427"/>
    <w:rsid w:val="00AB107C"/>
    <w:rsid w:val="00AC70AE"/>
    <w:rsid w:val="00B0714C"/>
    <w:rsid w:val="00B07327"/>
    <w:rsid w:val="00B2583D"/>
    <w:rsid w:val="00B328A5"/>
    <w:rsid w:val="00B37C3A"/>
    <w:rsid w:val="00B47F72"/>
    <w:rsid w:val="00B61A73"/>
    <w:rsid w:val="00BA09D6"/>
    <w:rsid w:val="00BE01E1"/>
    <w:rsid w:val="00BF1957"/>
    <w:rsid w:val="00BF6927"/>
    <w:rsid w:val="00BF71B2"/>
    <w:rsid w:val="00C06583"/>
    <w:rsid w:val="00C368E9"/>
    <w:rsid w:val="00C62565"/>
    <w:rsid w:val="00CA7A07"/>
    <w:rsid w:val="00CE02F7"/>
    <w:rsid w:val="00CF4E25"/>
    <w:rsid w:val="00D00343"/>
    <w:rsid w:val="00D14968"/>
    <w:rsid w:val="00D342AD"/>
    <w:rsid w:val="00D46964"/>
    <w:rsid w:val="00D54B2B"/>
    <w:rsid w:val="00D80FAB"/>
    <w:rsid w:val="00D90130"/>
    <w:rsid w:val="00DB6384"/>
    <w:rsid w:val="00DC3372"/>
    <w:rsid w:val="00E8749B"/>
    <w:rsid w:val="00EB15C3"/>
    <w:rsid w:val="00ED4272"/>
    <w:rsid w:val="00F41790"/>
    <w:rsid w:val="00F543FB"/>
    <w:rsid w:val="00F5440F"/>
    <w:rsid w:val="00F9662C"/>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230A"/>
  <w15:chartTrackingRefBased/>
  <w15:docId w15:val="{FC4A5E8C-D807-450E-8B7C-29291AE6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402"/>
    <w:pPr>
      <w:jc w:val="both"/>
    </w:pPr>
    <w:rPr>
      <w:rFonts w:eastAsia="Times New Roman" w:cs="Times New Roman"/>
      <w:szCs w:val="20"/>
    </w:rPr>
  </w:style>
  <w:style w:type="paragraph" w:styleId="Heading1">
    <w:name w:val="heading 1"/>
    <w:basedOn w:val="Normal"/>
    <w:link w:val="Heading1Char"/>
    <w:uiPriority w:val="9"/>
    <w:qFormat/>
    <w:rsid w:val="00456EC5"/>
    <w:pPr>
      <w:numPr>
        <w:numId w:val="1"/>
      </w:numPr>
      <w:outlineLvl w:val="0"/>
    </w:pPr>
  </w:style>
  <w:style w:type="paragraph" w:styleId="Heading2">
    <w:name w:val="heading 2"/>
    <w:basedOn w:val="Normal"/>
    <w:link w:val="Heading2Char"/>
    <w:uiPriority w:val="10"/>
    <w:qFormat/>
    <w:rsid w:val="00456EC5"/>
    <w:pPr>
      <w:numPr>
        <w:ilvl w:val="1"/>
        <w:numId w:val="1"/>
      </w:numPr>
      <w:outlineLvl w:val="1"/>
    </w:pPr>
  </w:style>
  <w:style w:type="paragraph" w:styleId="Heading3">
    <w:name w:val="heading 3"/>
    <w:basedOn w:val="Normal"/>
    <w:link w:val="Heading3Char"/>
    <w:uiPriority w:val="11"/>
    <w:qFormat/>
    <w:rsid w:val="00456EC5"/>
    <w:pPr>
      <w:numPr>
        <w:ilvl w:val="2"/>
        <w:numId w:val="1"/>
      </w:numPr>
      <w:outlineLvl w:val="2"/>
    </w:pPr>
  </w:style>
  <w:style w:type="paragraph" w:styleId="Heading4">
    <w:name w:val="heading 4"/>
    <w:basedOn w:val="Normal"/>
    <w:link w:val="Heading4Char"/>
    <w:uiPriority w:val="12"/>
    <w:qFormat/>
    <w:rsid w:val="00456EC5"/>
    <w:pPr>
      <w:numPr>
        <w:ilvl w:val="3"/>
        <w:numId w:val="1"/>
      </w:numPr>
      <w:outlineLvl w:val="3"/>
    </w:pPr>
  </w:style>
  <w:style w:type="paragraph" w:styleId="Heading5">
    <w:name w:val="heading 5"/>
    <w:basedOn w:val="Normal"/>
    <w:link w:val="Heading5Char"/>
    <w:uiPriority w:val="13"/>
    <w:qFormat/>
    <w:rsid w:val="00456EC5"/>
    <w:pPr>
      <w:numPr>
        <w:ilvl w:val="4"/>
        <w:numId w:val="1"/>
      </w:numPr>
      <w:outlineLvl w:val="4"/>
    </w:pPr>
  </w:style>
  <w:style w:type="paragraph" w:styleId="Heading6">
    <w:name w:val="heading 6"/>
    <w:basedOn w:val="Normal"/>
    <w:link w:val="Heading6Char"/>
    <w:uiPriority w:val="15"/>
    <w:qFormat/>
    <w:rsid w:val="00456EC5"/>
    <w:pPr>
      <w:numPr>
        <w:ilvl w:val="5"/>
        <w:numId w:val="1"/>
      </w:numPr>
      <w:outlineLvl w:val="5"/>
    </w:pPr>
  </w:style>
  <w:style w:type="paragraph" w:styleId="Heading7">
    <w:name w:val="heading 7"/>
    <w:basedOn w:val="Normal"/>
    <w:link w:val="Heading7Char"/>
    <w:uiPriority w:val="16"/>
    <w:qFormat/>
    <w:rsid w:val="00456EC5"/>
    <w:pPr>
      <w:numPr>
        <w:ilvl w:val="6"/>
        <w:numId w:val="1"/>
      </w:numPr>
      <w:outlineLvl w:val="6"/>
    </w:pPr>
  </w:style>
  <w:style w:type="paragraph" w:styleId="Heading8">
    <w:name w:val="heading 8"/>
    <w:basedOn w:val="Normal"/>
    <w:link w:val="Heading8Char"/>
    <w:uiPriority w:val="17"/>
    <w:qFormat/>
    <w:rsid w:val="00456EC5"/>
    <w:pPr>
      <w:numPr>
        <w:ilvl w:val="7"/>
        <w:numId w:val="1"/>
      </w:numPr>
      <w:outlineLvl w:val="7"/>
    </w:pPr>
  </w:style>
  <w:style w:type="paragraph" w:styleId="Heading9">
    <w:name w:val="heading 9"/>
    <w:basedOn w:val="Normal"/>
    <w:next w:val="Normal"/>
    <w:link w:val="Heading9Char"/>
    <w:uiPriority w:val="18"/>
    <w:qFormat/>
    <w:rsid w:val="00456EC5"/>
    <w:pPr>
      <w:numPr>
        <w:ilvl w:val="8"/>
        <w:numId w:val="1"/>
      </w:numPr>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FF5CB7"/>
  </w:style>
  <w:style w:type="paragraph" w:styleId="Title">
    <w:name w:val="Title"/>
    <w:basedOn w:val="Normal"/>
    <w:next w:val="BodyText"/>
    <w:link w:val="TitleChar"/>
    <w:uiPriority w:val="1"/>
    <w:qFormat/>
    <w:rsid w:val="00346903"/>
    <w:pPr>
      <w:keepNext/>
      <w:spacing w:before="120"/>
      <w:jc w:val="center"/>
      <w:outlineLvl w:val="0"/>
    </w:pPr>
    <w:rPr>
      <w:b/>
      <w:caps/>
    </w:rPr>
  </w:style>
  <w:style w:type="character" w:customStyle="1" w:styleId="TitleChar">
    <w:name w:val="Title Char"/>
    <w:basedOn w:val="DefaultParagraphFont"/>
    <w:link w:val="Title"/>
    <w:uiPriority w:val="1"/>
    <w:rsid w:val="00D90130"/>
    <w:rPr>
      <w:rFonts w:eastAsia="Times New Roman" w:cs="Times New Roman"/>
      <w:b/>
      <w:caps/>
    </w:rPr>
  </w:style>
  <w:style w:type="paragraph" w:customStyle="1" w:styleId="AddendumHeading">
    <w:name w:val="Addendum Heading"/>
    <w:basedOn w:val="Normal"/>
    <w:next w:val="Normal"/>
    <w:uiPriority w:val="99"/>
    <w:semiHidden/>
    <w:rsid w:val="00346903"/>
    <w:rPr>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style>
  <w:style w:type="paragraph" w:customStyle="1" w:styleId="BlockText2">
    <w:name w:val="Block Text 2"/>
    <w:basedOn w:val="Normal"/>
    <w:uiPriority w:val="99"/>
    <w:semiHidden/>
    <w:rsid w:val="00346903"/>
    <w:pPr>
      <w:spacing w:line="480" w:lineRule="auto"/>
      <w:ind w:left="1440" w:right="1440"/>
    </w:pPr>
  </w:style>
  <w:style w:type="paragraph" w:customStyle="1" w:styleId="BlockText3">
    <w:name w:val="Block Text 3"/>
    <w:basedOn w:val="Normal"/>
    <w:uiPriority w:val="99"/>
    <w:semiHidden/>
    <w:rsid w:val="00346903"/>
    <w:pPr>
      <w:ind w:left="1440" w:right="1440" w:firstLine="720"/>
    </w:pPr>
  </w:style>
  <w:style w:type="paragraph" w:customStyle="1" w:styleId="BlockText4">
    <w:name w:val="Block Text 4"/>
    <w:basedOn w:val="Normal"/>
    <w:uiPriority w:val="99"/>
    <w:semiHidden/>
    <w:rsid w:val="00346903"/>
    <w:pPr>
      <w:spacing w:line="480" w:lineRule="auto"/>
      <w:ind w:left="1440" w:right="1440" w:firstLine="720"/>
    </w:pPr>
  </w:style>
  <w:style w:type="paragraph" w:styleId="BodyText">
    <w:name w:val="Body Text"/>
    <w:basedOn w:val="Normal"/>
    <w:link w:val="BodyTextChar"/>
    <w:qFormat/>
    <w:rsid w:val="00346903"/>
    <w:pPr>
      <w:ind w:firstLine="1440"/>
    </w:pPr>
  </w:style>
  <w:style w:type="character" w:customStyle="1" w:styleId="BodyTextChar">
    <w:name w:val="Body Text Char"/>
    <w:basedOn w:val="DefaultParagraphFont"/>
    <w:link w:val="BodyText"/>
    <w:uiPriority w:val="3"/>
    <w:rsid w:val="00D90130"/>
    <w:rPr>
      <w:rFonts w:eastAsia="Times New Roman" w:cs="Times New Roman"/>
    </w:rPr>
  </w:style>
  <w:style w:type="paragraph" w:styleId="BodyText2">
    <w:name w:val="Body Text 2"/>
    <w:basedOn w:val="Normal"/>
    <w:link w:val="BodyText2Char"/>
    <w:uiPriority w:val="4"/>
    <w:qFormat/>
    <w:rsid w:val="00346903"/>
    <w:pPr>
      <w:spacing w:line="480" w:lineRule="auto"/>
      <w:ind w:firstLine="1440"/>
    </w:pPr>
  </w:style>
  <w:style w:type="character" w:customStyle="1" w:styleId="BodyText2Char">
    <w:name w:val="Body Text 2 Char"/>
    <w:basedOn w:val="DefaultParagraphFont"/>
    <w:link w:val="BodyText2"/>
    <w:uiPriority w:val="4"/>
    <w:rsid w:val="00D90130"/>
    <w:rPr>
      <w:rFonts w:eastAsia="Times New Roman" w:cs="Times New Roman"/>
    </w:rPr>
  </w:style>
  <w:style w:type="paragraph" w:styleId="BodyText3">
    <w:name w:val="Body Text 3"/>
    <w:basedOn w:val="Normal"/>
    <w:link w:val="BodyText3Char"/>
    <w:uiPriority w:val="4"/>
    <w:qFormat/>
    <w:rsid w:val="00346903"/>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style>
  <w:style w:type="paragraph" w:styleId="BodyTextFirstIndent">
    <w:name w:val="Body Text First Indent"/>
    <w:basedOn w:val="Normal"/>
    <w:link w:val="BodyTextFirstIndentChar"/>
    <w:uiPriority w:val="5"/>
    <w:qFormat/>
    <w:rsid w:val="00346903"/>
    <w:pPr>
      <w:ind w:firstLine="720"/>
    </w:pPr>
  </w:style>
  <w:style w:type="character" w:customStyle="1" w:styleId="BodyTextFirstIndentChar">
    <w:name w:val="Body Text First Indent Char"/>
    <w:basedOn w:val="BodyTextChar"/>
    <w:link w:val="BodyTextFirstIndent"/>
    <w:uiPriority w:val="5"/>
    <w:rsid w:val="0003171A"/>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style>
  <w:style w:type="paragraph" w:customStyle="1" w:styleId="BodyTextHanging">
    <w:name w:val="Body Text Hanging"/>
    <w:basedOn w:val="Normal"/>
    <w:uiPriority w:val="99"/>
    <w:semiHidden/>
    <w:rsid w:val="00346903"/>
    <w:pPr>
      <w:ind w:left="2160" w:hanging="2160"/>
    </w:pPr>
  </w:style>
  <w:style w:type="paragraph" w:styleId="BodyTextIndent2">
    <w:name w:val="Body Text Indent 2"/>
    <w:basedOn w:val="Normal"/>
    <w:link w:val="BodyTextIndent2Char"/>
    <w:uiPriority w:val="99"/>
    <w:semiHidden/>
    <w:rsid w:val="00346903"/>
    <w:pPr>
      <w:spacing w:line="480" w:lineRule="auto"/>
      <w:ind w:left="1440" w:firstLine="720"/>
    </w:p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style>
  <w:style w:type="paragraph" w:customStyle="1" w:styleId="DocID">
    <w:name w:val="DocID"/>
    <w:basedOn w:val="Normal"/>
    <w:next w:val="Normal"/>
    <w:rsid w:val="00346903"/>
    <w:pPr>
      <w:ind w:left="-720"/>
    </w:pPr>
    <w:rPr>
      <w:rFonts w:ascii="Arial" w:hAnsi="Arial" w:cs="Arial"/>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ascii="Arial" w:hAnsi="Arial"/>
      <w:sz w:val="16"/>
    </w:rPr>
  </w:style>
  <w:style w:type="paragraph" w:styleId="Footer">
    <w:name w:val="footer"/>
    <w:basedOn w:val="Normal"/>
    <w:link w:val="FooterChar"/>
    <w:rsid w:val="00346903"/>
    <w:pPr>
      <w:tabs>
        <w:tab w:val="center" w:pos="4680"/>
        <w:tab w:val="right" w:pos="9360"/>
      </w:tabs>
      <w:spacing w:after="0"/>
    </w:pPr>
  </w:style>
  <w:style w:type="character" w:customStyle="1" w:styleId="FooterChar">
    <w:name w:val="Footer Char"/>
    <w:basedOn w:val="DefaultParagraphFont"/>
    <w:link w:val="Footer"/>
    <w:uiPriority w:val="99"/>
    <w:semiHidden/>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style>
  <w:style w:type="paragraph" w:customStyle="1" w:styleId="Heading">
    <w:name w:val="Heading"/>
    <w:basedOn w:val="Normal"/>
    <w:uiPriority w:val="99"/>
    <w:semiHidden/>
    <w:rsid w:val="00346903"/>
  </w:style>
  <w:style w:type="paragraph" w:customStyle="1" w:styleId="HeadingBase">
    <w:name w:val="Heading Base"/>
    <w:basedOn w:val="Normal"/>
    <w:uiPriority w:val="99"/>
    <w:semiHidden/>
    <w:rsid w:val="00346903"/>
  </w:style>
  <w:style w:type="paragraph" w:customStyle="1" w:styleId="Para1">
    <w:name w:val="Para1"/>
    <w:basedOn w:val="HeadingBase"/>
    <w:uiPriority w:val="9"/>
    <w:qFormat/>
    <w:rsid w:val="00346903"/>
    <w:pPr>
      <w:ind w:firstLine="1440"/>
    </w:pPr>
  </w:style>
  <w:style w:type="paragraph" w:customStyle="1" w:styleId="Para2">
    <w:name w:val="Para2"/>
    <w:basedOn w:val="HeadingBase"/>
    <w:uiPriority w:val="10"/>
    <w:qFormat/>
    <w:rsid w:val="00346903"/>
    <w:pPr>
      <w:ind w:left="720" w:firstLine="1440"/>
    </w:pPr>
  </w:style>
  <w:style w:type="paragraph" w:customStyle="1" w:styleId="Para3">
    <w:name w:val="Para3"/>
    <w:basedOn w:val="HeadingBase"/>
    <w:uiPriority w:val="11"/>
    <w:qFormat/>
    <w:rsid w:val="00346903"/>
    <w:pPr>
      <w:ind w:left="1440" w:firstLine="1440"/>
    </w:pPr>
  </w:style>
  <w:style w:type="paragraph" w:customStyle="1" w:styleId="Para4">
    <w:name w:val="Para4"/>
    <w:basedOn w:val="HeadingBase"/>
    <w:uiPriority w:val="12"/>
    <w:qFormat/>
    <w:rsid w:val="00346903"/>
    <w:pPr>
      <w:ind w:left="2160" w:firstLine="1440"/>
    </w:pPr>
  </w:style>
  <w:style w:type="paragraph" w:customStyle="1" w:styleId="Para5">
    <w:name w:val="Para5"/>
    <w:basedOn w:val="HeadingBase"/>
    <w:uiPriority w:val="13"/>
    <w:qFormat/>
    <w:rsid w:val="00346903"/>
    <w:pPr>
      <w:ind w:left="2880" w:firstLine="1440"/>
    </w:pPr>
  </w:style>
  <w:style w:type="paragraph" w:customStyle="1" w:styleId="Para6">
    <w:name w:val="Para6"/>
    <w:basedOn w:val="HeadingBase"/>
    <w:uiPriority w:val="15"/>
    <w:qFormat/>
    <w:rsid w:val="00346903"/>
    <w:pPr>
      <w:ind w:left="3600" w:firstLine="1440"/>
    </w:pPr>
  </w:style>
  <w:style w:type="paragraph" w:customStyle="1" w:styleId="Para7">
    <w:name w:val="Para7"/>
    <w:basedOn w:val="HeadingBase"/>
    <w:uiPriority w:val="16"/>
    <w:qFormat/>
    <w:rsid w:val="00346903"/>
    <w:pPr>
      <w:ind w:left="4320" w:firstLine="1440"/>
    </w:pPr>
  </w:style>
  <w:style w:type="paragraph" w:customStyle="1" w:styleId="Para8">
    <w:name w:val="Para8"/>
    <w:basedOn w:val="HeadingBase"/>
    <w:uiPriority w:val="17"/>
    <w:qFormat/>
    <w:rsid w:val="00346903"/>
    <w:pPr>
      <w:ind w:left="5040" w:firstLine="1440"/>
    </w:pPr>
  </w:style>
  <w:style w:type="paragraph" w:customStyle="1" w:styleId="Para9">
    <w:name w:val="Para9"/>
    <w:basedOn w:val="Normal"/>
    <w:uiPriority w:val="18"/>
    <w:qFormat/>
    <w:rsid w:val="00346903"/>
    <w:pPr>
      <w:ind w:left="5760" w:firstLine="1440"/>
    </w:p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u w:val="single"/>
    </w:rPr>
  </w:style>
  <w:style w:type="paragraph" w:styleId="Signature">
    <w:name w:val="Signature"/>
    <w:basedOn w:val="Normal"/>
    <w:link w:val="SignatureChar"/>
    <w:uiPriority w:val="99"/>
    <w:rsid w:val="00346903"/>
    <w:pPr>
      <w:keepLines/>
      <w:ind w:left="4680"/>
    </w:pPr>
  </w:style>
  <w:style w:type="character" w:customStyle="1" w:styleId="SignatureChar">
    <w:name w:val="Signature Char"/>
    <w:basedOn w:val="DefaultParagraphFont"/>
    <w:link w:val="Signature"/>
    <w:uiPriority w:val="99"/>
    <w:rsid w:val="006470E7"/>
    <w:rPr>
      <w:rFonts w:eastAsia="Times New Roman" w:cs="Times New Roman"/>
    </w:rPr>
  </w:style>
  <w:style w:type="paragraph" w:styleId="Subtitle">
    <w:name w:val="Subtitle"/>
    <w:basedOn w:val="Normal"/>
    <w:next w:val="BodyText"/>
    <w:link w:val="SubtitleChar"/>
    <w:uiPriority w:val="2"/>
    <w:qFormat/>
    <w:rsid w:val="00346903"/>
    <w:pPr>
      <w:keepNext/>
      <w:spacing w:before="120"/>
      <w:jc w:val="center"/>
      <w:outlineLvl w:val="1"/>
    </w:pPr>
    <w:rPr>
      <w:b/>
    </w:rPr>
  </w:style>
  <w:style w:type="character" w:customStyle="1" w:styleId="SubtitleChar">
    <w:name w:val="Subtitle Char"/>
    <w:basedOn w:val="DefaultParagraphFont"/>
    <w:link w:val="Subtitle"/>
    <w:uiPriority w:val="2"/>
    <w:rsid w:val="00D90130"/>
    <w:rPr>
      <w:rFonts w:eastAsia="Times New Roman" w:cs="Times New Roman"/>
      <w:b/>
    </w:rPr>
  </w:style>
  <w:style w:type="paragraph" w:customStyle="1" w:styleId="SubtitleUnderline">
    <w:name w:val="Subtitle Underline"/>
    <w:basedOn w:val="Subtitle"/>
    <w:next w:val="BodyText"/>
    <w:uiPriority w:val="99"/>
    <w:semiHidden/>
    <w:rsid w:val="00346903"/>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b/>
      <w:caps/>
    </w:rPr>
  </w:style>
  <w:style w:type="paragraph" w:customStyle="1" w:styleId="NormalDouble">
    <w:name w:val="Normal Double"/>
    <w:basedOn w:val="Normal"/>
    <w:uiPriority w:val="99"/>
    <w:semiHidden/>
    <w:qFormat/>
    <w:rsid w:val="0007249B"/>
    <w:pPr>
      <w:spacing w:line="480" w:lineRule="auto"/>
    </w:pPr>
  </w:style>
  <w:style w:type="paragraph" w:customStyle="1" w:styleId="HIDDEN">
    <w:name w:val="HIDDEN"/>
    <w:basedOn w:val="Normal"/>
    <w:next w:val="Normal"/>
    <w:uiPriority w:val="99"/>
    <w:rsid w:val="0007249B"/>
    <w:pPr>
      <w:widowControl w:val="0"/>
    </w:pPr>
    <w:rPr>
      <w:snapToGrid w:val="0"/>
      <w:vanish/>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customStyle="1" w:styleId="Level1">
    <w:name w:val="Level 1"/>
    <w:basedOn w:val="HeadingBase"/>
    <w:uiPriority w:val="99"/>
    <w:rsid w:val="001A015C"/>
    <w:pPr>
      <w:numPr>
        <w:numId w:val="2"/>
      </w:numPr>
    </w:pPr>
  </w:style>
  <w:style w:type="paragraph" w:customStyle="1" w:styleId="Level2">
    <w:name w:val="Level 2"/>
    <w:basedOn w:val="HeadingBase"/>
    <w:uiPriority w:val="99"/>
    <w:rsid w:val="001A015C"/>
    <w:pPr>
      <w:numPr>
        <w:ilvl w:val="1"/>
        <w:numId w:val="2"/>
      </w:numPr>
    </w:pPr>
  </w:style>
  <w:style w:type="paragraph" w:customStyle="1" w:styleId="Level3">
    <w:name w:val="Level 3"/>
    <w:basedOn w:val="HeadingBase"/>
    <w:uiPriority w:val="99"/>
    <w:rsid w:val="001A015C"/>
    <w:pPr>
      <w:numPr>
        <w:ilvl w:val="2"/>
        <w:numId w:val="2"/>
      </w:numPr>
    </w:pPr>
  </w:style>
  <w:style w:type="paragraph" w:customStyle="1" w:styleId="Level4">
    <w:name w:val="Level 4"/>
    <w:basedOn w:val="HeadingBase"/>
    <w:uiPriority w:val="99"/>
    <w:rsid w:val="001A015C"/>
    <w:pPr>
      <w:numPr>
        <w:ilvl w:val="3"/>
        <w:numId w:val="2"/>
      </w:numPr>
    </w:pPr>
  </w:style>
  <w:style w:type="paragraph" w:customStyle="1" w:styleId="Level5">
    <w:name w:val="Level 5"/>
    <w:basedOn w:val="HeadingBase"/>
    <w:uiPriority w:val="99"/>
    <w:rsid w:val="001A015C"/>
    <w:pPr>
      <w:numPr>
        <w:ilvl w:val="4"/>
        <w:numId w:val="2"/>
      </w:numPr>
    </w:pPr>
  </w:style>
  <w:style w:type="paragraph" w:customStyle="1" w:styleId="Level6">
    <w:name w:val="Level 6"/>
    <w:basedOn w:val="HeadingBase"/>
    <w:uiPriority w:val="99"/>
    <w:rsid w:val="001A015C"/>
    <w:pPr>
      <w:numPr>
        <w:ilvl w:val="5"/>
        <w:numId w:val="2"/>
      </w:numPr>
    </w:pPr>
  </w:style>
  <w:style w:type="paragraph" w:customStyle="1" w:styleId="Level7">
    <w:name w:val="Level 7"/>
    <w:basedOn w:val="HeadingBase"/>
    <w:uiPriority w:val="99"/>
    <w:rsid w:val="001A015C"/>
    <w:pPr>
      <w:numPr>
        <w:ilvl w:val="6"/>
        <w:numId w:val="2"/>
      </w:numPr>
    </w:pPr>
  </w:style>
  <w:style w:type="paragraph" w:customStyle="1" w:styleId="Level8">
    <w:name w:val="Level 8"/>
    <w:basedOn w:val="HeadingBase"/>
    <w:uiPriority w:val="99"/>
    <w:rsid w:val="001A015C"/>
    <w:pPr>
      <w:numPr>
        <w:ilvl w:val="7"/>
        <w:numId w:val="2"/>
      </w:numPr>
    </w:pPr>
  </w:style>
  <w:style w:type="paragraph" w:customStyle="1" w:styleId="Level9">
    <w:name w:val="Level 9"/>
    <w:basedOn w:val="HeadingBase"/>
    <w:uiPriority w:val="99"/>
    <w:rsid w:val="001A015C"/>
    <w:pPr>
      <w:numPr>
        <w:ilvl w:val="8"/>
        <w:numId w:val="2"/>
      </w:numPr>
    </w:pPr>
  </w:style>
  <w:style w:type="paragraph" w:styleId="Header">
    <w:name w:val="header"/>
    <w:basedOn w:val="Normal"/>
    <w:link w:val="HeaderChar"/>
    <w:uiPriority w:val="99"/>
    <w:rsid w:val="00D54B2B"/>
    <w:pPr>
      <w:tabs>
        <w:tab w:val="center" w:pos="4680"/>
        <w:tab w:val="right" w:pos="9360"/>
      </w:tabs>
      <w:spacing w:after="0"/>
    </w:pPr>
  </w:style>
  <w:style w:type="character" w:customStyle="1" w:styleId="HeaderChar">
    <w:name w:val="Header Char"/>
    <w:basedOn w:val="DefaultParagraphFont"/>
    <w:link w:val="Header"/>
    <w:uiPriority w:val="99"/>
    <w:rsid w:val="006470E7"/>
  </w:style>
  <w:style w:type="paragraph" w:styleId="ListBullet">
    <w:name w:val="List Bullet"/>
    <w:basedOn w:val="Normal"/>
    <w:uiPriority w:val="7"/>
    <w:qFormat/>
    <w:rsid w:val="008A44DE"/>
    <w:pPr>
      <w:numPr>
        <w:numId w:val="3"/>
      </w:numPr>
      <w:tabs>
        <w:tab w:val="clear" w:pos="360"/>
        <w:tab w:val="left" w:pos="720"/>
      </w:tabs>
      <w:ind w:left="720" w:hanging="720"/>
    </w:pPr>
  </w:style>
  <w:style w:type="paragraph" w:styleId="ListBullet2">
    <w:name w:val="List Bullet 2"/>
    <w:basedOn w:val="Normal"/>
    <w:uiPriority w:val="8"/>
    <w:qFormat/>
    <w:rsid w:val="008A44DE"/>
    <w:pPr>
      <w:numPr>
        <w:numId w:val="4"/>
      </w:numPr>
      <w:tabs>
        <w:tab w:val="clear" w:pos="720"/>
        <w:tab w:val="left" w:pos="1440"/>
      </w:tabs>
      <w:ind w:left="1440" w:hanging="720"/>
    </w:pPr>
  </w:style>
  <w:style w:type="paragraph" w:styleId="ListBullet3">
    <w:name w:val="List Bullet 3"/>
    <w:basedOn w:val="Normal"/>
    <w:uiPriority w:val="99"/>
    <w:semiHidden/>
    <w:unhideWhenUsed/>
    <w:rsid w:val="008A44DE"/>
    <w:pPr>
      <w:numPr>
        <w:numId w:val="5"/>
      </w:numPr>
      <w:tabs>
        <w:tab w:val="clear" w:pos="1080"/>
        <w:tab w:val="left" w:pos="2160"/>
      </w:tabs>
      <w:ind w:left="2160" w:hanging="720"/>
    </w:pPr>
  </w:style>
  <w:style w:type="paragraph" w:styleId="ListBullet4">
    <w:name w:val="List Bullet 4"/>
    <w:basedOn w:val="Normal"/>
    <w:uiPriority w:val="99"/>
    <w:semiHidden/>
    <w:unhideWhenUsed/>
    <w:rsid w:val="008A44DE"/>
    <w:pPr>
      <w:numPr>
        <w:numId w:val="6"/>
      </w:numPr>
      <w:tabs>
        <w:tab w:val="clear" w:pos="1440"/>
        <w:tab w:val="num" w:pos="2880"/>
      </w:tabs>
      <w:ind w:left="2880" w:hanging="720"/>
    </w:pPr>
  </w:style>
  <w:style w:type="paragraph" w:styleId="ListBullet5">
    <w:name w:val="List Bullet 5"/>
    <w:basedOn w:val="Normal"/>
    <w:uiPriority w:val="99"/>
    <w:semiHidden/>
    <w:unhideWhenUsed/>
    <w:rsid w:val="008A44DE"/>
    <w:pPr>
      <w:numPr>
        <w:numId w:val="7"/>
      </w:numPr>
      <w:tabs>
        <w:tab w:val="clear" w:pos="180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semiHidden/>
    <w:unhideWhenUsed/>
    <w:rsid w:val="008A44DE"/>
    <w:pPr>
      <w:numPr>
        <w:numId w:val="8"/>
      </w:numPr>
      <w:tabs>
        <w:tab w:val="left" w:pos="720"/>
      </w:tabs>
      <w:ind w:left="720" w:hanging="720"/>
    </w:pPr>
  </w:style>
  <w:style w:type="paragraph" w:styleId="ListNumber2">
    <w:name w:val="List Number 2"/>
    <w:basedOn w:val="Normal"/>
    <w:uiPriority w:val="99"/>
    <w:semiHidden/>
    <w:unhideWhenUsed/>
    <w:rsid w:val="008A44DE"/>
    <w:pPr>
      <w:numPr>
        <w:numId w:val="9"/>
      </w:numPr>
      <w:tabs>
        <w:tab w:val="left" w:pos="720"/>
      </w:tabs>
      <w:ind w:left="1440" w:hanging="720"/>
    </w:pPr>
  </w:style>
  <w:style w:type="paragraph" w:styleId="ListNumber3">
    <w:name w:val="List Number 3"/>
    <w:basedOn w:val="Normal"/>
    <w:uiPriority w:val="99"/>
    <w:semiHidden/>
    <w:unhideWhenUsed/>
    <w:rsid w:val="008A44DE"/>
    <w:pPr>
      <w:numPr>
        <w:numId w:val="10"/>
      </w:numPr>
      <w:tabs>
        <w:tab w:val="left" w:pos="720"/>
      </w:tabs>
      <w:ind w:left="2160" w:hanging="720"/>
    </w:pPr>
  </w:style>
  <w:style w:type="paragraph" w:styleId="ListNumber4">
    <w:name w:val="List Number 4"/>
    <w:basedOn w:val="Normal"/>
    <w:uiPriority w:val="99"/>
    <w:semiHidden/>
    <w:unhideWhenUsed/>
    <w:rsid w:val="008A44DE"/>
    <w:pPr>
      <w:numPr>
        <w:numId w:val="11"/>
      </w:numPr>
      <w:tabs>
        <w:tab w:val="left" w:pos="720"/>
      </w:tabs>
      <w:ind w:left="0" w:firstLine="720"/>
    </w:pPr>
  </w:style>
  <w:style w:type="paragraph" w:styleId="ListNumber5">
    <w:name w:val="List Number 5"/>
    <w:basedOn w:val="Normal"/>
    <w:uiPriority w:val="99"/>
    <w:semiHidden/>
    <w:unhideWhenUsed/>
    <w:rsid w:val="008A44DE"/>
    <w:pPr>
      <w:numPr>
        <w:numId w:val="12"/>
      </w:numPr>
      <w:tabs>
        <w:tab w:val="left" w:pos="720"/>
      </w:tabs>
      <w:ind w:left="0" w:firstLine="1440"/>
    </w:pPr>
  </w:style>
  <w:style w:type="paragraph" w:customStyle="1" w:styleId="ListNumberA">
    <w:name w:val="List Number A"/>
    <w:basedOn w:val="BodyText"/>
    <w:uiPriority w:val="99"/>
    <w:rsid w:val="00BF71B2"/>
    <w:pPr>
      <w:numPr>
        <w:numId w:val="13"/>
      </w:numPr>
      <w:tabs>
        <w:tab w:val="left" w:pos="720"/>
      </w:tabs>
      <w:ind w:left="0" w:firstLine="1440"/>
    </w:pPr>
  </w:style>
  <w:style w:type="paragraph" w:styleId="Quote">
    <w:name w:val="Quote"/>
    <w:basedOn w:val="Normal"/>
    <w:next w:val="Normal"/>
    <w:link w:val="QuoteChar"/>
    <w:uiPriority w:val="99"/>
    <w:qFormat/>
    <w:rsid w:val="007C0402"/>
    <w:pPr>
      <w:spacing w:before="160" w:after="160"/>
      <w:jc w:val="center"/>
    </w:pPr>
    <w:rPr>
      <w:i/>
      <w:iCs/>
      <w:color w:val="797979" w:themeColor="text1" w:themeTint="BF"/>
    </w:rPr>
  </w:style>
  <w:style w:type="character" w:customStyle="1" w:styleId="QuoteChar">
    <w:name w:val="Quote Char"/>
    <w:basedOn w:val="DefaultParagraphFont"/>
    <w:link w:val="Quote"/>
    <w:uiPriority w:val="99"/>
    <w:rsid w:val="007C0402"/>
    <w:rPr>
      <w:i/>
      <w:iCs/>
      <w:color w:val="797979" w:themeColor="text1" w:themeTint="BF"/>
    </w:rPr>
  </w:style>
  <w:style w:type="paragraph" w:styleId="ListParagraph">
    <w:name w:val="List Paragraph"/>
    <w:basedOn w:val="Normal"/>
    <w:uiPriority w:val="99"/>
    <w:qFormat/>
    <w:rsid w:val="007C0402"/>
    <w:pPr>
      <w:ind w:left="720"/>
      <w:contextualSpacing/>
    </w:pPr>
  </w:style>
  <w:style w:type="character" w:styleId="IntenseEmphasis">
    <w:name w:val="Intense Emphasis"/>
    <w:basedOn w:val="DefaultParagraphFont"/>
    <w:uiPriority w:val="99"/>
    <w:qFormat/>
    <w:rsid w:val="007C0402"/>
    <w:rPr>
      <w:i/>
      <w:iCs/>
      <w:color w:val="3E6C73" w:themeColor="accent1" w:themeShade="BF"/>
    </w:rPr>
  </w:style>
  <w:style w:type="paragraph" w:styleId="IntenseQuote">
    <w:name w:val="Intense Quote"/>
    <w:basedOn w:val="Normal"/>
    <w:next w:val="Normal"/>
    <w:link w:val="IntenseQuoteChar"/>
    <w:uiPriority w:val="99"/>
    <w:qFormat/>
    <w:rsid w:val="007C0402"/>
    <w:pPr>
      <w:pBdr>
        <w:top w:val="single" w:sz="4" w:space="10" w:color="3E6C73" w:themeColor="accent1" w:themeShade="BF"/>
        <w:bottom w:val="single" w:sz="4" w:space="10" w:color="3E6C73" w:themeColor="accent1" w:themeShade="BF"/>
      </w:pBdr>
      <w:spacing w:before="360" w:after="360"/>
      <w:ind w:left="864" w:right="864"/>
      <w:jc w:val="center"/>
    </w:pPr>
    <w:rPr>
      <w:i/>
      <w:iCs/>
      <w:color w:val="3E6C73" w:themeColor="accent1" w:themeShade="BF"/>
    </w:rPr>
  </w:style>
  <w:style w:type="character" w:customStyle="1" w:styleId="IntenseQuoteChar">
    <w:name w:val="Intense Quote Char"/>
    <w:basedOn w:val="DefaultParagraphFont"/>
    <w:link w:val="IntenseQuote"/>
    <w:uiPriority w:val="99"/>
    <w:rsid w:val="007C0402"/>
    <w:rPr>
      <w:i/>
      <w:iCs/>
      <w:color w:val="3E6C73" w:themeColor="accent1" w:themeShade="BF"/>
    </w:rPr>
  </w:style>
  <w:style w:type="character" w:styleId="IntenseReference">
    <w:name w:val="Intense Reference"/>
    <w:basedOn w:val="DefaultParagraphFont"/>
    <w:uiPriority w:val="99"/>
    <w:qFormat/>
    <w:rsid w:val="007C0402"/>
    <w:rPr>
      <w:b/>
      <w:bCs/>
      <w:smallCaps/>
      <w:color w:val="3E6C73" w:themeColor="accent1" w:themeShade="BF"/>
      <w:spacing w:val="5"/>
    </w:rPr>
  </w:style>
  <w:style w:type="paragraph" w:styleId="FootnoteText">
    <w:name w:val="footnote text"/>
    <w:basedOn w:val="Normal"/>
    <w:link w:val="FootnoteTextChar"/>
    <w:semiHidden/>
    <w:rsid w:val="007C0402"/>
    <w:pPr>
      <w:tabs>
        <w:tab w:val="left" w:pos="360"/>
      </w:tabs>
      <w:ind w:left="360" w:hanging="360"/>
    </w:pPr>
  </w:style>
  <w:style w:type="character" w:customStyle="1" w:styleId="FootnoteTextChar">
    <w:name w:val="Footnote Text Char"/>
    <w:basedOn w:val="DefaultParagraphFont"/>
    <w:link w:val="FootnoteText"/>
    <w:semiHidden/>
    <w:rsid w:val="007C0402"/>
    <w:rPr>
      <w:rFonts w:eastAsia="Times New Roman" w:cs="Times New Roman"/>
      <w:szCs w:val="20"/>
    </w:rPr>
  </w:style>
  <w:style w:type="character" w:styleId="FootnoteReference">
    <w:name w:val="footnote reference"/>
    <w:semiHidden/>
    <w:rsid w:val="007C0402"/>
    <w:rPr>
      <w:vertAlign w:val="superscript"/>
    </w:rPr>
  </w:style>
  <w:style w:type="paragraph" w:customStyle="1" w:styleId="DocID0">
    <w:name w:val="DocID_"/>
    <w:basedOn w:val="Normal"/>
    <w:next w:val="Normal"/>
    <w:uiPriority w:val="99"/>
    <w:rsid w:val="007C0402"/>
    <w:pPr>
      <w:spacing w:after="0"/>
      <w:jc w:val="left"/>
    </w:pPr>
    <w:rPr>
      <w:rFonts w:ascii="Arial" w:hAnsi="Arial" w:cs="Arial"/>
      <w:noProof/>
      <w:sz w:val="16"/>
      <w:szCs w:val="24"/>
      <w:lang w:eastAsia="zh-CN"/>
    </w:rPr>
  </w:style>
  <w:style w:type="character" w:styleId="CommentReference">
    <w:name w:val="annotation reference"/>
    <w:basedOn w:val="DefaultParagraphFont"/>
    <w:uiPriority w:val="99"/>
    <w:semiHidden/>
    <w:unhideWhenUsed/>
    <w:rsid w:val="005D664A"/>
    <w:rPr>
      <w:sz w:val="16"/>
      <w:szCs w:val="16"/>
    </w:rPr>
  </w:style>
  <w:style w:type="paragraph" w:styleId="CommentText">
    <w:name w:val="annotation text"/>
    <w:basedOn w:val="Normal"/>
    <w:link w:val="CommentTextChar"/>
    <w:uiPriority w:val="99"/>
    <w:unhideWhenUsed/>
    <w:rsid w:val="005D664A"/>
    <w:rPr>
      <w:sz w:val="20"/>
    </w:rPr>
  </w:style>
  <w:style w:type="character" w:customStyle="1" w:styleId="CommentTextChar">
    <w:name w:val="Comment Text Char"/>
    <w:basedOn w:val="DefaultParagraphFont"/>
    <w:link w:val="CommentText"/>
    <w:uiPriority w:val="99"/>
    <w:rsid w:val="005D664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64A"/>
    <w:rPr>
      <w:b/>
      <w:bCs/>
    </w:rPr>
  </w:style>
  <w:style w:type="character" w:customStyle="1" w:styleId="CommentSubjectChar">
    <w:name w:val="Comment Subject Char"/>
    <w:basedOn w:val="CommentTextChar"/>
    <w:link w:val="CommentSubject"/>
    <w:uiPriority w:val="99"/>
    <w:semiHidden/>
    <w:rsid w:val="005D664A"/>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2419</Words>
  <Characters>12703</Characters>
  <Application>Microsoft Office Word</Application>
  <DocSecurity>0</DocSecurity>
  <Lines>215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Sarina S.</dc:creator>
  <cp:keywords/>
  <dc:description/>
  <cp:lastModifiedBy>Swanson, Holly J.</cp:lastModifiedBy>
  <cp:revision>2</cp:revision>
  <dcterms:created xsi:type="dcterms:W3CDTF">2026-02-27T16:21:00Z</dcterms:created>
  <dcterms:modified xsi:type="dcterms:W3CDTF">2026-02-27T16:21:00Z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4896-2886-6441.1</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4896-2886-6441</vt:lpwstr>
  </property>
</Properties>
</file>